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FB3" w:rsidRPr="000D7A6B" w:rsidRDefault="00EF1FB3" w:rsidP="000D7A6B">
      <w:pPr>
        <w:jc w:val="both"/>
        <w:rPr>
          <w:rFonts w:asciiTheme="majorBidi" w:hAnsiTheme="majorBidi" w:cstheme="majorBidi"/>
        </w:rPr>
      </w:pPr>
    </w:p>
    <w:p w:rsidR="00EF1FB3" w:rsidRPr="000D7A6B" w:rsidRDefault="00EF1FB3" w:rsidP="000D7A6B">
      <w:pPr>
        <w:jc w:val="both"/>
        <w:rPr>
          <w:rFonts w:asciiTheme="majorBidi" w:hAnsiTheme="majorBidi" w:cstheme="majorBidi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515"/>
        <w:gridCol w:w="7740"/>
      </w:tblGrid>
      <w:tr w:rsidR="001301AA" w:rsidRPr="000D7A6B" w:rsidTr="008C27A9">
        <w:tc>
          <w:tcPr>
            <w:tcW w:w="10255" w:type="dxa"/>
            <w:gridSpan w:val="2"/>
            <w:shd w:val="clear" w:color="auto" w:fill="E2EFD9" w:themeFill="accent6" w:themeFillTint="33"/>
          </w:tcPr>
          <w:p w:rsidR="001301AA" w:rsidRPr="008C27A9" w:rsidRDefault="001301AA" w:rsidP="008C27A9">
            <w:pPr>
              <w:tabs>
                <w:tab w:val="left" w:pos="410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C27A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Paper 1</w:t>
            </w:r>
          </w:p>
        </w:tc>
      </w:tr>
      <w:tr w:rsidR="001301AA" w:rsidRPr="000D7A6B" w:rsidTr="001301AA">
        <w:tc>
          <w:tcPr>
            <w:tcW w:w="2515" w:type="dxa"/>
          </w:tcPr>
          <w:p w:rsidR="001301AA" w:rsidRPr="000D7A6B" w:rsidRDefault="001301AA" w:rsidP="000D7A6B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D7A6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Title of the Paper</w:t>
            </w:r>
          </w:p>
        </w:tc>
        <w:tc>
          <w:tcPr>
            <w:tcW w:w="7740" w:type="dxa"/>
          </w:tcPr>
          <w:p w:rsidR="001301AA" w:rsidRPr="000D7A6B" w:rsidRDefault="001301AA" w:rsidP="000D7A6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D7A6B">
              <w:rPr>
                <w:rFonts w:asciiTheme="majorBidi" w:hAnsiTheme="majorBidi" w:cstheme="majorBidi"/>
                <w:sz w:val="20"/>
                <w:szCs w:val="20"/>
              </w:rPr>
              <w:t>A Scalable Transmission and Distribution Co-simulation Platform for IBR-heavy Power Systems</w:t>
            </w:r>
          </w:p>
        </w:tc>
      </w:tr>
      <w:tr w:rsidR="00917116" w:rsidRPr="000D7A6B" w:rsidTr="001301AA">
        <w:tc>
          <w:tcPr>
            <w:tcW w:w="2515" w:type="dxa"/>
          </w:tcPr>
          <w:p w:rsidR="00917116" w:rsidRPr="00A57ADA" w:rsidRDefault="00917116" w:rsidP="00A57ADA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A57AD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Year and Journal</w:t>
            </w:r>
          </w:p>
        </w:tc>
        <w:tc>
          <w:tcPr>
            <w:tcW w:w="7740" w:type="dxa"/>
          </w:tcPr>
          <w:p w:rsidR="00917116" w:rsidRPr="00A57ADA" w:rsidRDefault="00917116" w:rsidP="00A57ADA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A57ADA">
              <w:rPr>
                <w:rFonts w:asciiTheme="majorBidi" w:hAnsiTheme="majorBidi" w:cstheme="majorBidi"/>
                <w:sz w:val="20"/>
                <w:szCs w:val="20"/>
              </w:rPr>
              <w:t>2023, 8th IEEE Workshop on the Electronic Grid (</w:t>
            </w:r>
            <w:proofErr w:type="spellStart"/>
            <w:r w:rsidRPr="00A57ADA">
              <w:rPr>
                <w:rFonts w:asciiTheme="majorBidi" w:hAnsiTheme="majorBidi" w:cstheme="majorBidi"/>
                <w:sz w:val="20"/>
                <w:szCs w:val="20"/>
              </w:rPr>
              <w:t>eGRID</w:t>
            </w:r>
            <w:proofErr w:type="spellEnd"/>
            <w:r w:rsidRPr="00A57ADA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</w:tr>
      <w:tr w:rsidR="004F17C1" w:rsidRPr="000D7A6B" w:rsidTr="001301AA">
        <w:tc>
          <w:tcPr>
            <w:tcW w:w="2515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D7A6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Authors and Affiliations</w:t>
            </w:r>
          </w:p>
        </w:tc>
        <w:tc>
          <w:tcPr>
            <w:tcW w:w="7740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0D7A6B">
              <w:rPr>
                <w:rFonts w:asciiTheme="majorBidi" w:hAnsiTheme="majorBidi" w:cstheme="majorBidi"/>
                <w:sz w:val="20"/>
                <w:szCs w:val="20"/>
              </w:rPr>
              <w:t>Yousu</w:t>
            </w:r>
            <w:proofErr w:type="spellEnd"/>
            <w:r w:rsidRPr="000D7A6B">
              <w:rPr>
                <w:rFonts w:asciiTheme="majorBidi" w:hAnsiTheme="majorBidi" w:cstheme="majorBidi"/>
                <w:sz w:val="20"/>
                <w:szCs w:val="20"/>
              </w:rPr>
              <w:t xml:space="preserve"> Chen, Yuan Liu, </w:t>
            </w:r>
            <w:proofErr w:type="spellStart"/>
            <w:r w:rsidRPr="000D7A6B">
              <w:rPr>
                <w:rFonts w:asciiTheme="majorBidi" w:hAnsiTheme="majorBidi" w:cstheme="majorBidi"/>
                <w:sz w:val="20"/>
                <w:szCs w:val="20"/>
              </w:rPr>
              <w:t>Xiaoyuan</w:t>
            </w:r>
            <w:proofErr w:type="spellEnd"/>
            <w:r w:rsidRPr="000D7A6B">
              <w:rPr>
                <w:rFonts w:asciiTheme="majorBidi" w:hAnsiTheme="majorBidi" w:cstheme="majorBidi"/>
                <w:sz w:val="20"/>
                <w:szCs w:val="20"/>
              </w:rPr>
              <w:t xml:space="preserve"> Fan, Wei Du, </w:t>
            </w:r>
            <w:proofErr w:type="spellStart"/>
            <w:r w:rsidRPr="000D7A6B">
              <w:rPr>
                <w:rFonts w:asciiTheme="majorBidi" w:hAnsiTheme="majorBidi" w:cstheme="majorBidi"/>
                <w:sz w:val="20"/>
                <w:szCs w:val="20"/>
              </w:rPr>
              <w:t>Dexin</w:t>
            </w:r>
            <w:proofErr w:type="spellEnd"/>
            <w:r w:rsidRPr="000D7A6B">
              <w:rPr>
                <w:rFonts w:asciiTheme="majorBidi" w:hAnsiTheme="majorBidi" w:cstheme="majorBidi"/>
                <w:sz w:val="20"/>
                <w:szCs w:val="20"/>
              </w:rPr>
              <w:t xml:space="preserve"> Wang, James Ogle (Pacific Northwest National Laboratory); Johan </w:t>
            </w:r>
            <w:proofErr w:type="spellStart"/>
            <w:r w:rsidRPr="000D7A6B">
              <w:rPr>
                <w:rFonts w:asciiTheme="majorBidi" w:hAnsiTheme="majorBidi" w:cstheme="majorBidi"/>
                <w:sz w:val="20"/>
                <w:szCs w:val="20"/>
              </w:rPr>
              <w:t>Enslin</w:t>
            </w:r>
            <w:proofErr w:type="spellEnd"/>
            <w:r w:rsidRPr="000D7A6B">
              <w:rPr>
                <w:rFonts w:asciiTheme="majorBidi" w:hAnsiTheme="majorBidi" w:cstheme="majorBidi"/>
                <w:sz w:val="20"/>
                <w:szCs w:val="20"/>
              </w:rPr>
              <w:t xml:space="preserve"> (Clemson University)</w:t>
            </w:r>
          </w:p>
        </w:tc>
      </w:tr>
      <w:tr w:rsidR="004F17C1" w:rsidRPr="000D7A6B" w:rsidTr="001301AA">
        <w:tc>
          <w:tcPr>
            <w:tcW w:w="2515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D7A6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Tools Used</w:t>
            </w:r>
          </w:p>
        </w:tc>
        <w:tc>
          <w:tcPr>
            <w:tcW w:w="7740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0D7A6B">
              <w:rPr>
                <w:rFonts w:asciiTheme="majorBidi" w:hAnsiTheme="majorBidi" w:cstheme="majorBidi"/>
                <w:sz w:val="20"/>
                <w:szCs w:val="20"/>
              </w:rPr>
              <w:t>GridPACK</w:t>
            </w:r>
            <w:proofErr w:type="spellEnd"/>
            <w:r w:rsidRPr="000D7A6B"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proofErr w:type="spellStart"/>
            <w:r w:rsidRPr="000D7A6B">
              <w:rPr>
                <w:rFonts w:asciiTheme="majorBidi" w:hAnsiTheme="majorBidi" w:cstheme="majorBidi"/>
                <w:sz w:val="20"/>
                <w:szCs w:val="20"/>
              </w:rPr>
              <w:t>GridLAB</w:t>
            </w:r>
            <w:proofErr w:type="spellEnd"/>
            <w:r w:rsidRPr="000D7A6B">
              <w:rPr>
                <w:rFonts w:asciiTheme="majorBidi" w:hAnsiTheme="majorBidi" w:cstheme="majorBidi"/>
                <w:sz w:val="20"/>
                <w:szCs w:val="20"/>
              </w:rPr>
              <w:t>-D, HELICS, HPC environment</w:t>
            </w:r>
          </w:p>
        </w:tc>
      </w:tr>
      <w:tr w:rsidR="004F17C1" w:rsidRPr="000D7A6B" w:rsidTr="001301AA">
        <w:tc>
          <w:tcPr>
            <w:tcW w:w="2515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D7A6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Aim of the Paper</w:t>
            </w:r>
          </w:p>
        </w:tc>
        <w:tc>
          <w:tcPr>
            <w:tcW w:w="7740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D7A6B">
              <w:rPr>
                <w:rFonts w:asciiTheme="majorBidi" w:hAnsiTheme="majorBidi" w:cstheme="majorBidi"/>
                <w:sz w:val="20"/>
                <w:szCs w:val="20"/>
              </w:rPr>
              <w:t>To develop a scalable co-simulation platform for analyzing the impact of grid-forming (GFM) and grid-following (GFL) inverters on the dynamic stability of transmission and distribution systems at varying penetration levels.</w:t>
            </w:r>
          </w:p>
        </w:tc>
      </w:tr>
      <w:tr w:rsidR="004F17C1" w:rsidRPr="000D7A6B" w:rsidTr="001301AA">
        <w:tc>
          <w:tcPr>
            <w:tcW w:w="2515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D7A6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What They Analyzed</w:t>
            </w:r>
          </w:p>
        </w:tc>
        <w:tc>
          <w:tcPr>
            <w:tcW w:w="7740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D7A6B">
              <w:rPr>
                <w:rFonts w:asciiTheme="majorBidi" w:hAnsiTheme="majorBidi" w:cstheme="majorBidi"/>
                <w:sz w:val="20"/>
                <w:szCs w:val="20"/>
              </w:rPr>
              <w:t>Dynamic behavior under contingencies, frequency response, and grid stability with different mixes of GFL and GFM inverters at high renewable penetration levels.</w:t>
            </w:r>
          </w:p>
        </w:tc>
      </w:tr>
      <w:tr w:rsidR="004F17C1" w:rsidRPr="000D7A6B" w:rsidTr="001301AA">
        <w:tc>
          <w:tcPr>
            <w:tcW w:w="2515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D7A6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Results and Conclusion</w:t>
            </w:r>
          </w:p>
        </w:tc>
        <w:tc>
          <w:tcPr>
            <w:tcW w:w="7740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D7A6B">
              <w:rPr>
                <w:rFonts w:asciiTheme="majorBidi" w:hAnsiTheme="majorBidi" w:cstheme="majorBidi"/>
                <w:sz w:val="20"/>
                <w:szCs w:val="20"/>
              </w:rPr>
              <w:t>GFM inverters enhance frequency stability and overall system performance during contingencies. The platform is scalable and facilitates detailed analysis of IBR impacts, which cannot be achieved with aggregated models.</w:t>
            </w:r>
          </w:p>
        </w:tc>
      </w:tr>
      <w:tr w:rsidR="004F17C1" w:rsidRPr="000D7A6B" w:rsidTr="001301AA">
        <w:tc>
          <w:tcPr>
            <w:tcW w:w="2515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D7A6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Novel Contributions</w:t>
            </w:r>
          </w:p>
        </w:tc>
        <w:tc>
          <w:tcPr>
            <w:tcW w:w="7740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D7A6B">
              <w:rPr>
                <w:rFonts w:asciiTheme="majorBidi" w:hAnsiTheme="majorBidi" w:cstheme="majorBidi"/>
                <w:sz w:val="20"/>
                <w:szCs w:val="20"/>
              </w:rPr>
              <w:t>Introduced a scalable T&amp;D co-simulation platform supporting high penetration of GFM and GFL inverters. Enhanced IBR modeling capabilities and the ability to simulate distribution-side contingencies comprehensively.</w:t>
            </w:r>
          </w:p>
        </w:tc>
      </w:tr>
      <w:tr w:rsidR="004F17C1" w:rsidRPr="000D7A6B" w:rsidTr="001301AA">
        <w:tc>
          <w:tcPr>
            <w:tcW w:w="2515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D7A6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Simulation Scenarios</w:t>
            </w:r>
          </w:p>
        </w:tc>
        <w:tc>
          <w:tcPr>
            <w:tcW w:w="7740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D7A6B">
              <w:rPr>
                <w:rFonts w:asciiTheme="majorBidi" w:hAnsiTheme="majorBidi" w:cstheme="majorBidi"/>
                <w:sz w:val="20"/>
                <w:szCs w:val="20"/>
              </w:rPr>
              <w:t>Small-scale: IEEE 39-bus transmission system with two IEEE 34-node feeders; Large-scale: 120-bus transmission system with 19 IEEE 8500-node feeders. Contingencies included generator and feeder tripping scenarios.</w:t>
            </w:r>
          </w:p>
        </w:tc>
      </w:tr>
      <w:tr w:rsidR="004F17C1" w:rsidRPr="000D7A6B" w:rsidTr="001301AA">
        <w:tc>
          <w:tcPr>
            <w:tcW w:w="2515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D7A6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Challenges Addressed</w:t>
            </w:r>
          </w:p>
        </w:tc>
        <w:tc>
          <w:tcPr>
            <w:tcW w:w="7740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D7A6B">
              <w:rPr>
                <w:rFonts w:asciiTheme="majorBidi" w:hAnsiTheme="majorBidi" w:cstheme="majorBidi"/>
                <w:sz w:val="20"/>
                <w:szCs w:val="20"/>
              </w:rPr>
              <w:t>Lack of comprehensive dynamic IBR models, limitations of aggregated models, need for scalable co-simulation platforms to handle high renewable penetration and analyze interactions across T&amp;D systems.</w:t>
            </w:r>
          </w:p>
        </w:tc>
      </w:tr>
      <w:tr w:rsidR="004F17C1" w:rsidRPr="000D7A6B" w:rsidTr="001301AA">
        <w:tc>
          <w:tcPr>
            <w:tcW w:w="2515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D7A6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Impact of Work</w:t>
            </w:r>
          </w:p>
        </w:tc>
        <w:tc>
          <w:tcPr>
            <w:tcW w:w="7740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D7A6B">
              <w:rPr>
                <w:rFonts w:asciiTheme="majorBidi" w:hAnsiTheme="majorBidi" w:cstheme="majorBidi"/>
                <w:sz w:val="20"/>
                <w:szCs w:val="20"/>
              </w:rPr>
              <w:t>Facilitates understanding of IBR impacts on grid dynamics, aiding in the design of more resilient and stable power systems. Provides a platform for integrating emerging technologies like 5G for grid monitoring and control.</w:t>
            </w:r>
          </w:p>
        </w:tc>
      </w:tr>
      <w:tr w:rsidR="004F17C1" w:rsidRPr="000D7A6B" w:rsidTr="001301AA">
        <w:tc>
          <w:tcPr>
            <w:tcW w:w="2515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D7A6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Comparison to Existing Work</w:t>
            </w:r>
          </w:p>
        </w:tc>
        <w:tc>
          <w:tcPr>
            <w:tcW w:w="7740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D7A6B">
              <w:rPr>
                <w:rFonts w:asciiTheme="majorBidi" w:hAnsiTheme="majorBidi" w:cstheme="majorBidi"/>
                <w:sz w:val="20"/>
                <w:szCs w:val="20"/>
              </w:rPr>
              <w:t>Builds on previous co-simulation efforts but significantly expands scalability and fidelity with detailed IBR modeling and distribution-side contingency analysis, surpassing traditional aggregated approaches.</w:t>
            </w:r>
          </w:p>
        </w:tc>
      </w:tr>
    </w:tbl>
    <w:p w:rsidR="00EF1FB3" w:rsidRPr="000D7A6B" w:rsidRDefault="00EF1FB3" w:rsidP="000D7A6B">
      <w:pPr>
        <w:jc w:val="both"/>
        <w:rPr>
          <w:rFonts w:asciiTheme="majorBidi" w:hAnsiTheme="majorBidi" w:cstheme="majorBidi"/>
        </w:rPr>
      </w:pPr>
    </w:p>
    <w:p w:rsidR="00EF1FB3" w:rsidRPr="000D7A6B" w:rsidRDefault="00EF1FB3" w:rsidP="000D7A6B">
      <w:pPr>
        <w:jc w:val="both"/>
        <w:rPr>
          <w:rFonts w:asciiTheme="majorBidi" w:hAnsiTheme="majorBidi" w:cstheme="majorBidi"/>
        </w:rPr>
      </w:pPr>
    </w:p>
    <w:p w:rsidR="001301AA" w:rsidRPr="000D7A6B" w:rsidRDefault="001301AA" w:rsidP="000D7A6B">
      <w:pPr>
        <w:tabs>
          <w:tab w:val="left" w:pos="1410"/>
        </w:tabs>
        <w:jc w:val="both"/>
        <w:rPr>
          <w:rFonts w:asciiTheme="majorBidi" w:hAnsiTheme="majorBidi" w:cstheme="majorBidi"/>
          <w:vanish/>
        </w:rPr>
      </w:pPr>
    </w:p>
    <w:p w:rsidR="00EF1FB3" w:rsidRPr="000D7A6B" w:rsidRDefault="00EF1FB3" w:rsidP="000D7A6B">
      <w:pPr>
        <w:tabs>
          <w:tab w:val="left" w:pos="1410"/>
        </w:tabs>
        <w:jc w:val="both"/>
        <w:rPr>
          <w:rFonts w:asciiTheme="majorBidi" w:hAnsiTheme="majorBidi" w:cstheme="majorBidi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EF1FB3" w:rsidRPr="000D7A6B" w:rsidTr="00EF1F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FB3" w:rsidRPr="000D7A6B" w:rsidRDefault="00EF1FB3" w:rsidP="000D7A6B">
            <w:pPr>
              <w:tabs>
                <w:tab w:val="left" w:pos="1410"/>
              </w:tabs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vAlign w:val="center"/>
            <w:hideMark/>
          </w:tcPr>
          <w:p w:rsidR="00EF1FB3" w:rsidRPr="000D7A6B" w:rsidRDefault="00EF1FB3" w:rsidP="000D7A6B">
            <w:pPr>
              <w:tabs>
                <w:tab w:val="left" w:pos="1410"/>
              </w:tabs>
              <w:jc w:val="both"/>
              <w:rPr>
                <w:rFonts w:asciiTheme="majorBidi" w:hAnsiTheme="majorBidi" w:cstheme="majorBidi"/>
              </w:rPr>
            </w:pPr>
          </w:p>
        </w:tc>
      </w:tr>
    </w:tbl>
    <w:p w:rsidR="00EF1FB3" w:rsidRPr="000D7A6B" w:rsidRDefault="00EF1FB3" w:rsidP="000D7A6B">
      <w:pPr>
        <w:tabs>
          <w:tab w:val="left" w:pos="1410"/>
        </w:tabs>
        <w:jc w:val="both"/>
        <w:rPr>
          <w:rFonts w:asciiTheme="majorBidi" w:hAnsiTheme="majorBidi" w:cstheme="majorBidi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EF1FB3" w:rsidRPr="000D7A6B" w:rsidTr="00EF1F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FB3" w:rsidRPr="000D7A6B" w:rsidRDefault="00EF1FB3" w:rsidP="000D7A6B">
            <w:pPr>
              <w:tabs>
                <w:tab w:val="left" w:pos="1410"/>
              </w:tabs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vAlign w:val="center"/>
            <w:hideMark/>
          </w:tcPr>
          <w:p w:rsidR="00EF1FB3" w:rsidRPr="000D7A6B" w:rsidRDefault="00EF1FB3" w:rsidP="000D7A6B">
            <w:pPr>
              <w:tabs>
                <w:tab w:val="left" w:pos="1410"/>
              </w:tabs>
              <w:jc w:val="both"/>
              <w:rPr>
                <w:rFonts w:asciiTheme="majorBidi" w:hAnsiTheme="majorBidi" w:cstheme="majorBidi"/>
              </w:rPr>
            </w:pPr>
          </w:p>
        </w:tc>
      </w:tr>
    </w:tbl>
    <w:p w:rsidR="00EF1FB3" w:rsidRPr="000D7A6B" w:rsidRDefault="00EF1FB3" w:rsidP="000D7A6B">
      <w:pPr>
        <w:tabs>
          <w:tab w:val="left" w:pos="1410"/>
        </w:tabs>
        <w:jc w:val="both"/>
        <w:rPr>
          <w:rFonts w:asciiTheme="majorBidi" w:hAnsiTheme="majorBidi" w:cstheme="majorBidi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EF1FB3" w:rsidRPr="000D7A6B" w:rsidTr="00EF1F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FB3" w:rsidRPr="000D7A6B" w:rsidRDefault="00EF1FB3" w:rsidP="000D7A6B">
            <w:pPr>
              <w:tabs>
                <w:tab w:val="left" w:pos="1410"/>
              </w:tabs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vAlign w:val="center"/>
            <w:hideMark/>
          </w:tcPr>
          <w:p w:rsidR="00EF1FB3" w:rsidRPr="000D7A6B" w:rsidRDefault="00EF1FB3" w:rsidP="000D7A6B">
            <w:pPr>
              <w:tabs>
                <w:tab w:val="left" w:pos="1410"/>
              </w:tabs>
              <w:jc w:val="both"/>
              <w:rPr>
                <w:rFonts w:asciiTheme="majorBidi" w:hAnsiTheme="majorBidi" w:cstheme="majorBidi"/>
              </w:rPr>
            </w:pPr>
          </w:p>
        </w:tc>
      </w:tr>
    </w:tbl>
    <w:p w:rsidR="001301AA" w:rsidRPr="000D7A6B" w:rsidRDefault="001301AA" w:rsidP="000D7A6B">
      <w:pPr>
        <w:tabs>
          <w:tab w:val="left" w:pos="1410"/>
        </w:tabs>
        <w:jc w:val="both"/>
        <w:rPr>
          <w:rFonts w:asciiTheme="majorBidi" w:hAnsiTheme="majorBidi" w:cstheme="majorBidi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515"/>
        <w:gridCol w:w="7740"/>
      </w:tblGrid>
      <w:tr w:rsidR="001301AA" w:rsidRPr="000D7A6B" w:rsidTr="008C27A9">
        <w:tc>
          <w:tcPr>
            <w:tcW w:w="10255" w:type="dxa"/>
            <w:gridSpan w:val="2"/>
            <w:shd w:val="clear" w:color="auto" w:fill="E2EFD9" w:themeFill="accent6" w:themeFillTint="33"/>
          </w:tcPr>
          <w:p w:rsidR="001301AA" w:rsidRPr="008C27A9" w:rsidRDefault="001301AA" w:rsidP="008C27A9">
            <w:pPr>
              <w:tabs>
                <w:tab w:val="left" w:pos="415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C27A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Paper </w:t>
            </w:r>
            <w:r w:rsidRPr="008C27A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</w:t>
            </w:r>
          </w:p>
        </w:tc>
      </w:tr>
      <w:tr w:rsidR="001301AA" w:rsidRPr="000D7A6B" w:rsidTr="006F17C7">
        <w:tc>
          <w:tcPr>
            <w:tcW w:w="2515" w:type="dxa"/>
          </w:tcPr>
          <w:p w:rsidR="001301AA" w:rsidRPr="000D7A6B" w:rsidRDefault="001301AA" w:rsidP="000D7A6B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0D7A6B">
              <w:rPr>
                <w:rFonts w:asciiTheme="majorBidi" w:hAnsiTheme="majorBidi" w:cstheme="majorBidi"/>
                <w:b/>
                <w:bCs/>
              </w:rPr>
              <w:t>Title of the Paper</w:t>
            </w:r>
          </w:p>
        </w:tc>
        <w:tc>
          <w:tcPr>
            <w:tcW w:w="7740" w:type="dxa"/>
          </w:tcPr>
          <w:p w:rsidR="001301AA" w:rsidRPr="000D7A6B" w:rsidRDefault="001301AA" w:rsidP="000D7A6B">
            <w:pPr>
              <w:jc w:val="both"/>
              <w:rPr>
                <w:rFonts w:asciiTheme="majorBidi" w:hAnsiTheme="majorBidi" w:cstheme="majorBidi"/>
              </w:rPr>
            </w:pPr>
            <w:r w:rsidRPr="000D7A6B">
              <w:rPr>
                <w:rFonts w:asciiTheme="majorBidi" w:hAnsiTheme="majorBidi" w:cstheme="majorBidi"/>
              </w:rPr>
              <w:t>Highly-Scalable Transmission and Distribution Dynamic Co-Simulation With 10,000+ Grid-Following and Grid-Forming Inverters</w:t>
            </w:r>
          </w:p>
        </w:tc>
      </w:tr>
      <w:tr w:rsidR="00A57ADA" w:rsidRPr="000D7A6B" w:rsidTr="006F17C7">
        <w:tc>
          <w:tcPr>
            <w:tcW w:w="2515" w:type="dxa"/>
          </w:tcPr>
          <w:p w:rsidR="00A57ADA" w:rsidRPr="000D7A6B" w:rsidRDefault="00A57ADA" w:rsidP="000D7A6B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A57ADA">
              <w:rPr>
                <w:rFonts w:asciiTheme="majorBidi" w:hAnsiTheme="majorBidi" w:cstheme="majorBidi"/>
                <w:b/>
                <w:bCs/>
              </w:rPr>
              <w:t>Year and Journal</w:t>
            </w:r>
          </w:p>
        </w:tc>
        <w:tc>
          <w:tcPr>
            <w:tcW w:w="7740" w:type="dxa"/>
          </w:tcPr>
          <w:p w:rsidR="00A57ADA" w:rsidRPr="000D7A6B" w:rsidRDefault="00A57ADA" w:rsidP="000D7A6B">
            <w:pPr>
              <w:jc w:val="both"/>
              <w:rPr>
                <w:rFonts w:asciiTheme="majorBidi" w:hAnsiTheme="majorBidi" w:cstheme="majorBidi"/>
              </w:rPr>
            </w:pPr>
            <w:r w:rsidRPr="00A57ADA">
              <w:rPr>
                <w:rFonts w:asciiTheme="majorBidi" w:hAnsiTheme="majorBidi" w:cstheme="majorBidi"/>
              </w:rPr>
              <w:t>2024, IEEE Transactions on Power Delivery</w:t>
            </w:r>
          </w:p>
        </w:tc>
      </w:tr>
      <w:tr w:rsidR="004F17C1" w:rsidRPr="000D7A6B" w:rsidTr="006F17C7">
        <w:tc>
          <w:tcPr>
            <w:tcW w:w="2515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0D7A6B">
              <w:rPr>
                <w:rFonts w:asciiTheme="majorBidi" w:hAnsiTheme="majorBidi" w:cstheme="majorBidi"/>
                <w:b/>
                <w:bCs/>
              </w:rPr>
              <w:t>Authors and Affiliations</w:t>
            </w:r>
          </w:p>
        </w:tc>
        <w:tc>
          <w:tcPr>
            <w:tcW w:w="7740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</w:rPr>
            </w:pPr>
            <w:r w:rsidRPr="000D7A6B">
              <w:rPr>
                <w:rFonts w:asciiTheme="majorBidi" w:hAnsiTheme="majorBidi" w:cstheme="majorBidi"/>
              </w:rPr>
              <w:t xml:space="preserve">Yuan Liu, </w:t>
            </w:r>
            <w:proofErr w:type="spellStart"/>
            <w:r w:rsidRPr="000D7A6B">
              <w:rPr>
                <w:rFonts w:asciiTheme="majorBidi" w:hAnsiTheme="majorBidi" w:cstheme="majorBidi"/>
              </w:rPr>
              <w:t>Renke</w:t>
            </w:r>
            <w:proofErr w:type="spellEnd"/>
            <w:r w:rsidRPr="000D7A6B">
              <w:rPr>
                <w:rFonts w:asciiTheme="majorBidi" w:hAnsiTheme="majorBidi" w:cstheme="majorBidi"/>
              </w:rPr>
              <w:t xml:space="preserve"> Huang, Wei Du, </w:t>
            </w:r>
            <w:proofErr w:type="spellStart"/>
            <w:r w:rsidRPr="000D7A6B">
              <w:rPr>
                <w:rFonts w:asciiTheme="majorBidi" w:hAnsiTheme="majorBidi" w:cstheme="majorBidi"/>
              </w:rPr>
              <w:t>Ankit</w:t>
            </w:r>
            <w:proofErr w:type="spellEnd"/>
            <w:r w:rsidRPr="000D7A6B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0D7A6B">
              <w:rPr>
                <w:rFonts w:asciiTheme="majorBidi" w:hAnsiTheme="majorBidi" w:cstheme="majorBidi"/>
              </w:rPr>
              <w:t>Singhal</w:t>
            </w:r>
            <w:proofErr w:type="spellEnd"/>
            <w:r w:rsidRPr="000D7A6B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0D7A6B">
              <w:rPr>
                <w:rFonts w:asciiTheme="majorBidi" w:hAnsiTheme="majorBidi" w:cstheme="majorBidi"/>
              </w:rPr>
              <w:t>Zhenyu</w:t>
            </w:r>
            <w:proofErr w:type="spellEnd"/>
            <w:r w:rsidRPr="000D7A6B">
              <w:rPr>
                <w:rFonts w:asciiTheme="majorBidi" w:hAnsiTheme="majorBidi" w:cstheme="majorBidi"/>
              </w:rPr>
              <w:t xml:space="preserve"> Huang; Affiliations include PNNL (Pacific Northwest National Laboratory), Shanghai Jiao Tong University, IIT Delhi.</w:t>
            </w:r>
          </w:p>
        </w:tc>
      </w:tr>
      <w:tr w:rsidR="004F17C1" w:rsidRPr="000D7A6B" w:rsidTr="006F17C7">
        <w:tc>
          <w:tcPr>
            <w:tcW w:w="2515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0D7A6B">
              <w:rPr>
                <w:rFonts w:asciiTheme="majorBidi" w:hAnsiTheme="majorBidi" w:cstheme="majorBidi"/>
                <w:b/>
                <w:bCs/>
              </w:rPr>
              <w:lastRenderedPageBreak/>
              <w:t>Tools Used</w:t>
            </w:r>
          </w:p>
        </w:tc>
        <w:tc>
          <w:tcPr>
            <w:tcW w:w="7740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 w:rsidRPr="000D7A6B">
              <w:rPr>
                <w:rFonts w:asciiTheme="majorBidi" w:hAnsiTheme="majorBidi" w:cstheme="majorBidi"/>
              </w:rPr>
              <w:t>GridPACK</w:t>
            </w:r>
            <w:proofErr w:type="spellEnd"/>
            <w:r w:rsidRPr="000D7A6B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0D7A6B">
              <w:rPr>
                <w:rFonts w:asciiTheme="majorBidi" w:hAnsiTheme="majorBidi" w:cstheme="majorBidi"/>
              </w:rPr>
              <w:t>GridLAB</w:t>
            </w:r>
            <w:proofErr w:type="spellEnd"/>
            <w:r w:rsidRPr="000D7A6B">
              <w:rPr>
                <w:rFonts w:asciiTheme="majorBidi" w:hAnsiTheme="majorBidi" w:cstheme="majorBidi"/>
              </w:rPr>
              <w:t>-D, HELICS, HPC resources</w:t>
            </w:r>
          </w:p>
        </w:tc>
      </w:tr>
      <w:tr w:rsidR="004F17C1" w:rsidRPr="000D7A6B" w:rsidTr="006F17C7">
        <w:tc>
          <w:tcPr>
            <w:tcW w:w="2515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0D7A6B">
              <w:rPr>
                <w:rFonts w:asciiTheme="majorBidi" w:hAnsiTheme="majorBidi" w:cstheme="majorBidi"/>
                <w:b/>
                <w:bCs/>
              </w:rPr>
              <w:t>Aim of the Paper</w:t>
            </w:r>
          </w:p>
        </w:tc>
        <w:tc>
          <w:tcPr>
            <w:tcW w:w="7740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</w:rPr>
            </w:pPr>
            <w:r w:rsidRPr="000D7A6B">
              <w:rPr>
                <w:rFonts w:asciiTheme="majorBidi" w:hAnsiTheme="majorBidi" w:cstheme="majorBidi"/>
              </w:rPr>
              <w:t>To develop and validate a scalable co-simulation platform capable of dynamically modeling T&amp;D systems with over 10,000 GFM and GFL inverters, and to analyze their impact under various high IBR penetration scenarios.</w:t>
            </w:r>
          </w:p>
        </w:tc>
      </w:tr>
      <w:tr w:rsidR="004F17C1" w:rsidRPr="000D7A6B" w:rsidTr="006F17C7">
        <w:tc>
          <w:tcPr>
            <w:tcW w:w="2515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0D7A6B">
              <w:rPr>
                <w:rFonts w:asciiTheme="majorBidi" w:hAnsiTheme="majorBidi" w:cstheme="majorBidi"/>
                <w:b/>
                <w:bCs/>
              </w:rPr>
              <w:t>What They Analyzed</w:t>
            </w:r>
          </w:p>
        </w:tc>
        <w:tc>
          <w:tcPr>
            <w:tcW w:w="7740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</w:rPr>
            </w:pPr>
            <w:r w:rsidRPr="000D7A6B">
              <w:rPr>
                <w:rFonts w:asciiTheme="majorBidi" w:hAnsiTheme="majorBidi" w:cstheme="majorBidi"/>
              </w:rPr>
              <w:t>Dynamic stability, frequency responses, voltage regulation, and minimum grid-forming inverter penetration for stable operation under 100% inverter-based resource (IBR) penetration scenarios.</w:t>
            </w:r>
          </w:p>
        </w:tc>
      </w:tr>
      <w:tr w:rsidR="004F17C1" w:rsidRPr="000D7A6B" w:rsidTr="006F17C7">
        <w:tc>
          <w:tcPr>
            <w:tcW w:w="2515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0D7A6B">
              <w:rPr>
                <w:rFonts w:asciiTheme="majorBidi" w:hAnsiTheme="majorBidi" w:cstheme="majorBidi"/>
                <w:b/>
                <w:bCs/>
              </w:rPr>
              <w:t>Results and Conclusion</w:t>
            </w:r>
          </w:p>
        </w:tc>
        <w:tc>
          <w:tcPr>
            <w:tcW w:w="7740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</w:rPr>
            </w:pPr>
            <w:r w:rsidRPr="000D7A6B">
              <w:rPr>
                <w:rFonts w:asciiTheme="majorBidi" w:hAnsiTheme="majorBidi" w:cstheme="majorBidi"/>
              </w:rPr>
              <w:t>Demonstrated that GFM inverters significantly enhance stability. Only 12% GFM inverters are required for stable operation at 100% IBR penetration. Highlighted the platform's scalability and its potential for future studies.</w:t>
            </w:r>
          </w:p>
        </w:tc>
      </w:tr>
      <w:tr w:rsidR="004F17C1" w:rsidRPr="000D7A6B" w:rsidTr="006F17C7">
        <w:tc>
          <w:tcPr>
            <w:tcW w:w="2515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0D7A6B">
              <w:rPr>
                <w:rFonts w:asciiTheme="majorBidi" w:hAnsiTheme="majorBidi" w:cstheme="majorBidi"/>
                <w:b/>
                <w:bCs/>
              </w:rPr>
              <w:t>Novel Contributions</w:t>
            </w:r>
          </w:p>
        </w:tc>
        <w:tc>
          <w:tcPr>
            <w:tcW w:w="7740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</w:rPr>
            </w:pPr>
            <w:r w:rsidRPr="000D7A6B">
              <w:rPr>
                <w:rFonts w:asciiTheme="majorBidi" w:hAnsiTheme="majorBidi" w:cstheme="majorBidi"/>
              </w:rPr>
              <w:t>Developed the largest dynamic T&amp;D co-simulation platform to date, introduced an iterative T&amp;D initialization method, and demonstrated new insights into GFM inverter control under extreme scenarios.</w:t>
            </w:r>
          </w:p>
        </w:tc>
      </w:tr>
      <w:tr w:rsidR="004F17C1" w:rsidRPr="000D7A6B" w:rsidTr="006F17C7">
        <w:tc>
          <w:tcPr>
            <w:tcW w:w="2515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0D7A6B">
              <w:rPr>
                <w:rFonts w:asciiTheme="majorBidi" w:hAnsiTheme="majorBidi" w:cstheme="majorBidi"/>
                <w:b/>
                <w:bCs/>
              </w:rPr>
              <w:t>Simulation Scenarios</w:t>
            </w:r>
          </w:p>
        </w:tc>
        <w:tc>
          <w:tcPr>
            <w:tcW w:w="7740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</w:rPr>
            </w:pPr>
            <w:r w:rsidRPr="000D7A6B">
              <w:rPr>
                <w:rFonts w:asciiTheme="majorBidi" w:hAnsiTheme="majorBidi" w:cstheme="majorBidi"/>
              </w:rPr>
              <w:t>Analyzed scenarios ranging from 0% to 100% IBR penetration. Modeled 10,450 inverters (5,225 GFL and 5,225 GFM). Included generator tripping and inverter mix experiments to assess performance under stress conditions.</w:t>
            </w:r>
          </w:p>
        </w:tc>
      </w:tr>
      <w:tr w:rsidR="004F17C1" w:rsidRPr="000D7A6B" w:rsidTr="006F17C7">
        <w:tc>
          <w:tcPr>
            <w:tcW w:w="2515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0D7A6B">
              <w:rPr>
                <w:rFonts w:asciiTheme="majorBidi" w:hAnsiTheme="majorBidi" w:cstheme="majorBidi"/>
                <w:b/>
                <w:bCs/>
              </w:rPr>
              <w:t>Challenges Addressed</w:t>
            </w:r>
          </w:p>
        </w:tc>
        <w:tc>
          <w:tcPr>
            <w:tcW w:w="7740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</w:rPr>
            </w:pPr>
            <w:r w:rsidRPr="000D7A6B">
              <w:rPr>
                <w:rFonts w:asciiTheme="majorBidi" w:hAnsiTheme="majorBidi" w:cstheme="majorBidi"/>
              </w:rPr>
              <w:t>Limitations of aggregated models for IBRs, instability in initializing co-simulations at high IBR penetration, and lack of platforms that combine detailed distribution and transmission dynamic modeling.</w:t>
            </w:r>
          </w:p>
        </w:tc>
      </w:tr>
      <w:tr w:rsidR="004F17C1" w:rsidRPr="000D7A6B" w:rsidTr="006F17C7">
        <w:tc>
          <w:tcPr>
            <w:tcW w:w="2515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0D7A6B">
              <w:rPr>
                <w:rFonts w:asciiTheme="majorBidi" w:hAnsiTheme="majorBidi" w:cstheme="majorBidi"/>
                <w:b/>
                <w:bCs/>
              </w:rPr>
              <w:t>Impact of Work</w:t>
            </w:r>
          </w:p>
        </w:tc>
        <w:tc>
          <w:tcPr>
            <w:tcW w:w="7740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</w:rPr>
            </w:pPr>
            <w:r w:rsidRPr="000D7A6B">
              <w:rPr>
                <w:rFonts w:asciiTheme="majorBidi" w:hAnsiTheme="majorBidi" w:cstheme="majorBidi"/>
              </w:rPr>
              <w:t>Enables deeper analysis of IBR impacts, helping design more resilient power systems. Demonstrates how even a small percentage of GFM inverters can stabilize grids at extreme renewable penetration levels.</w:t>
            </w:r>
          </w:p>
        </w:tc>
      </w:tr>
      <w:tr w:rsidR="004F17C1" w:rsidRPr="000D7A6B" w:rsidTr="006F17C7">
        <w:tc>
          <w:tcPr>
            <w:tcW w:w="2515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0D7A6B">
              <w:rPr>
                <w:rFonts w:asciiTheme="majorBidi" w:hAnsiTheme="majorBidi" w:cstheme="majorBidi"/>
                <w:b/>
                <w:bCs/>
              </w:rPr>
              <w:t>Comparison to Existing Work</w:t>
            </w:r>
          </w:p>
        </w:tc>
        <w:tc>
          <w:tcPr>
            <w:tcW w:w="7740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</w:rPr>
            </w:pPr>
            <w:r w:rsidRPr="000D7A6B">
              <w:rPr>
                <w:rFonts w:asciiTheme="majorBidi" w:hAnsiTheme="majorBidi" w:cstheme="majorBidi"/>
              </w:rPr>
              <w:t>Surpasses earlier studies by incorporating detailed inverter models, addressing dynamic interactions, and scaling co-simulations to unprecedented sizes, enhancing both fidelity and applicability to real-world scenarios.</w:t>
            </w:r>
          </w:p>
        </w:tc>
      </w:tr>
    </w:tbl>
    <w:p w:rsidR="001301AA" w:rsidRPr="000D7A6B" w:rsidRDefault="001301AA" w:rsidP="000D7A6B">
      <w:pPr>
        <w:jc w:val="both"/>
        <w:rPr>
          <w:rFonts w:asciiTheme="majorBidi" w:hAnsiTheme="majorBidi" w:cstheme="majorBidi"/>
        </w:rPr>
      </w:pPr>
    </w:p>
    <w:p w:rsidR="002966BD" w:rsidRPr="000D7A6B" w:rsidRDefault="001301AA" w:rsidP="000D7A6B">
      <w:pPr>
        <w:tabs>
          <w:tab w:val="left" w:pos="2430"/>
        </w:tabs>
        <w:jc w:val="both"/>
        <w:rPr>
          <w:rFonts w:asciiTheme="majorBidi" w:hAnsiTheme="majorBidi" w:cstheme="majorBidi"/>
        </w:rPr>
      </w:pPr>
      <w:r w:rsidRPr="000D7A6B">
        <w:rPr>
          <w:rFonts w:asciiTheme="majorBidi" w:hAnsiTheme="majorBidi" w:cstheme="majorBidi"/>
        </w:rPr>
        <w:tab/>
      </w:r>
    </w:p>
    <w:p w:rsidR="001301AA" w:rsidRPr="000D7A6B" w:rsidRDefault="001301AA" w:rsidP="000D7A6B">
      <w:pPr>
        <w:tabs>
          <w:tab w:val="left" w:pos="2430"/>
        </w:tabs>
        <w:jc w:val="both"/>
        <w:rPr>
          <w:rFonts w:asciiTheme="majorBidi" w:hAnsiTheme="majorBidi" w:cstheme="majorBidi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515"/>
        <w:gridCol w:w="7740"/>
      </w:tblGrid>
      <w:tr w:rsidR="001301AA" w:rsidRPr="000D7A6B" w:rsidTr="008C27A9">
        <w:tc>
          <w:tcPr>
            <w:tcW w:w="10255" w:type="dxa"/>
            <w:gridSpan w:val="2"/>
            <w:shd w:val="clear" w:color="auto" w:fill="E2EFD9" w:themeFill="accent6" w:themeFillTint="33"/>
          </w:tcPr>
          <w:p w:rsidR="001301AA" w:rsidRPr="008C27A9" w:rsidRDefault="001301AA" w:rsidP="008C27A9">
            <w:pPr>
              <w:tabs>
                <w:tab w:val="left" w:pos="304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C27A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Paper </w:t>
            </w:r>
            <w:r w:rsidRPr="008C27A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</w:t>
            </w:r>
          </w:p>
        </w:tc>
      </w:tr>
      <w:tr w:rsidR="001301AA" w:rsidRPr="000D7A6B" w:rsidTr="006F17C7">
        <w:tc>
          <w:tcPr>
            <w:tcW w:w="2515" w:type="dxa"/>
          </w:tcPr>
          <w:p w:rsidR="001301AA" w:rsidRPr="000D7A6B" w:rsidRDefault="001301AA" w:rsidP="000D7A6B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0D7A6B">
              <w:rPr>
                <w:rFonts w:asciiTheme="majorBidi" w:hAnsiTheme="majorBidi" w:cstheme="majorBidi"/>
                <w:b/>
                <w:bCs/>
              </w:rPr>
              <w:t>Title of the Paper</w:t>
            </w:r>
          </w:p>
        </w:tc>
        <w:tc>
          <w:tcPr>
            <w:tcW w:w="7740" w:type="dxa"/>
          </w:tcPr>
          <w:p w:rsidR="001301AA" w:rsidRPr="000D7A6B" w:rsidRDefault="001301AA" w:rsidP="000D7A6B">
            <w:pPr>
              <w:jc w:val="both"/>
              <w:rPr>
                <w:rFonts w:asciiTheme="majorBidi" w:hAnsiTheme="majorBidi" w:cstheme="majorBidi"/>
              </w:rPr>
            </w:pPr>
            <w:r w:rsidRPr="000D7A6B">
              <w:rPr>
                <w:rFonts w:asciiTheme="majorBidi" w:hAnsiTheme="majorBidi" w:cstheme="majorBidi"/>
              </w:rPr>
              <w:t>High-Performance Computing-Based Open-Source Power Transmission and Distribution Grid Co-Simulation</w:t>
            </w:r>
          </w:p>
        </w:tc>
      </w:tr>
      <w:tr w:rsidR="00A57ADA" w:rsidRPr="000D7A6B" w:rsidTr="006F17C7">
        <w:tc>
          <w:tcPr>
            <w:tcW w:w="2515" w:type="dxa"/>
          </w:tcPr>
          <w:p w:rsidR="00A57ADA" w:rsidRPr="000D7A6B" w:rsidRDefault="00A57ADA" w:rsidP="000D7A6B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A57ADA">
              <w:rPr>
                <w:rFonts w:asciiTheme="majorBidi" w:hAnsiTheme="majorBidi" w:cstheme="majorBidi"/>
                <w:b/>
                <w:bCs/>
              </w:rPr>
              <w:t>Year and Journal</w:t>
            </w:r>
          </w:p>
        </w:tc>
        <w:tc>
          <w:tcPr>
            <w:tcW w:w="7740" w:type="dxa"/>
          </w:tcPr>
          <w:p w:rsidR="00A57ADA" w:rsidRPr="000D7A6B" w:rsidRDefault="00A57ADA" w:rsidP="00A57ADA">
            <w:pPr>
              <w:jc w:val="both"/>
              <w:rPr>
                <w:rFonts w:asciiTheme="majorBidi" w:hAnsiTheme="majorBidi" w:cstheme="majorBidi"/>
              </w:rPr>
            </w:pPr>
            <w:r w:rsidRPr="00A57ADA">
              <w:rPr>
                <w:rFonts w:asciiTheme="majorBidi" w:hAnsiTheme="majorBidi" w:cstheme="majorBidi"/>
              </w:rPr>
              <w:t>2024, IEEE</w:t>
            </w:r>
            <w:r>
              <w:rPr>
                <w:rFonts w:asciiTheme="majorBidi" w:hAnsiTheme="majorBidi" w:cstheme="majorBidi"/>
              </w:rPr>
              <w:t xml:space="preserve"> Transactions on Power Systems</w:t>
            </w:r>
          </w:p>
        </w:tc>
      </w:tr>
      <w:tr w:rsidR="004F17C1" w:rsidRPr="000D7A6B" w:rsidTr="006F17C7">
        <w:tc>
          <w:tcPr>
            <w:tcW w:w="2515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0D7A6B">
              <w:rPr>
                <w:rFonts w:asciiTheme="majorBidi" w:hAnsiTheme="majorBidi" w:cstheme="majorBidi"/>
                <w:b/>
                <w:bCs/>
              </w:rPr>
              <w:t>Authors and Affiliations</w:t>
            </w:r>
          </w:p>
        </w:tc>
        <w:tc>
          <w:tcPr>
            <w:tcW w:w="7740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</w:rPr>
            </w:pPr>
            <w:r w:rsidRPr="000D7A6B">
              <w:rPr>
                <w:rFonts w:asciiTheme="majorBidi" w:hAnsiTheme="majorBidi" w:cstheme="majorBidi"/>
              </w:rPr>
              <w:t xml:space="preserve">Lei </w:t>
            </w:r>
            <w:proofErr w:type="spellStart"/>
            <w:r w:rsidRPr="000D7A6B">
              <w:rPr>
                <w:rFonts w:asciiTheme="majorBidi" w:hAnsiTheme="majorBidi" w:cstheme="majorBidi"/>
              </w:rPr>
              <w:t>Zheng</w:t>
            </w:r>
            <w:proofErr w:type="spellEnd"/>
            <w:r w:rsidRPr="000D7A6B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0D7A6B">
              <w:rPr>
                <w:rFonts w:asciiTheme="majorBidi" w:hAnsiTheme="majorBidi" w:cstheme="majorBidi"/>
              </w:rPr>
              <w:t>Yuxin</w:t>
            </w:r>
            <w:proofErr w:type="spellEnd"/>
            <w:r w:rsidRPr="000D7A6B">
              <w:rPr>
                <w:rFonts w:asciiTheme="majorBidi" w:hAnsiTheme="majorBidi" w:cstheme="majorBidi"/>
              </w:rPr>
              <w:t xml:space="preserve"> Cui, </w:t>
            </w:r>
            <w:proofErr w:type="spellStart"/>
            <w:r w:rsidRPr="000D7A6B">
              <w:rPr>
                <w:rFonts w:asciiTheme="majorBidi" w:hAnsiTheme="majorBidi" w:cstheme="majorBidi"/>
              </w:rPr>
              <w:t>Shuangshuang</w:t>
            </w:r>
            <w:proofErr w:type="spellEnd"/>
            <w:r w:rsidRPr="000D7A6B">
              <w:rPr>
                <w:rFonts w:asciiTheme="majorBidi" w:hAnsiTheme="majorBidi" w:cstheme="majorBidi"/>
              </w:rPr>
              <w:t xml:space="preserve"> Jin, </w:t>
            </w:r>
            <w:proofErr w:type="spellStart"/>
            <w:r w:rsidRPr="000D7A6B">
              <w:rPr>
                <w:rFonts w:asciiTheme="majorBidi" w:hAnsiTheme="majorBidi" w:cstheme="majorBidi"/>
              </w:rPr>
              <w:t>Yousu</w:t>
            </w:r>
            <w:proofErr w:type="spellEnd"/>
            <w:r w:rsidRPr="000D7A6B">
              <w:rPr>
                <w:rFonts w:asciiTheme="majorBidi" w:hAnsiTheme="majorBidi" w:cstheme="majorBidi"/>
              </w:rPr>
              <w:t xml:space="preserve"> Chen (Clemson University, Pacific Northwest National Laboratory)</w:t>
            </w:r>
          </w:p>
        </w:tc>
      </w:tr>
      <w:tr w:rsidR="004F17C1" w:rsidRPr="000D7A6B" w:rsidTr="006F17C7">
        <w:tc>
          <w:tcPr>
            <w:tcW w:w="2515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0D7A6B">
              <w:rPr>
                <w:rFonts w:asciiTheme="majorBidi" w:hAnsiTheme="majorBidi" w:cstheme="majorBidi"/>
                <w:b/>
                <w:bCs/>
              </w:rPr>
              <w:t>Tools Used</w:t>
            </w:r>
          </w:p>
        </w:tc>
        <w:tc>
          <w:tcPr>
            <w:tcW w:w="7740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 w:rsidRPr="000D7A6B">
              <w:rPr>
                <w:rFonts w:asciiTheme="majorBidi" w:hAnsiTheme="majorBidi" w:cstheme="majorBidi"/>
              </w:rPr>
              <w:t>GridPACK</w:t>
            </w:r>
            <w:proofErr w:type="spellEnd"/>
            <w:r w:rsidRPr="000D7A6B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0D7A6B">
              <w:rPr>
                <w:rFonts w:asciiTheme="majorBidi" w:hAnsiTheme="majorBidi" w:cstheme="majorBidi"/>
              </w:rPr>
              <w:t>GridLAB</w:t>
            </w:r>
            <w:proofErr w:type="spellEnd"/>
            <w:r w:rsidRPr="000D7A6B">
              <w:rPr>
                <w:rFonts w:asciiTheme="majorBidi" w:hAnsiTheme="majorBidi" w:cstheme="majorBidi"/>
              </w:rPr>
              <w:t>-D, HELICS, MPI (Message Passing Interface), HPC environments</w:t>
            </w:r>
          </w:p>
        </w:tc>
      </w:tr>
      <w:tr w:rsidR="004F17C1" w:rsidRPr="000D7A6B" w:rsidTr="006F17C7">
        <w:tc>
          <w:tcPr>
            <w:tcW w:w="2515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0D7A6B">
              <w:rPr>
                <w:rFonts w:asciiTheme="majorBidi" w:hAnsiTheme="majorBidi" w:cstheme="majorBidi"/>
                <w:b/>
                <w:bCs/>
              </w:rPr>
              <w:t>Aim of the Paper</w:t>
            </w:r>
          </w:p>
        </w:tc>
        <w:tc>
          <w:tcPr>
            <w:tcW w:w="7740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</w:rPr>
            </w:pPr>
            <w:r w:rsidRPr="000D7A6B">
              <w:rPr>
                <w:rFonts w:asciiTheme="majorBidi" w:hAnsiTheme="majorBidi" w:cstheme="majorBidi"/>
              </w:rPr>
              <w:t>To develop and validate an open-source HPC-based framework for scalable and parallel co-simulation of transmission and distribution systems, addressing dynamic interactions and improving computational efficiency.</w:t>
            </w:r>
          </w:p>
        </w:tc>
      </w:tr>
      <w:tr w:rsidR="004F17C1" w:rsidRPr="000D7A6B" w:rsidTr="006F17C7">
        <w:tc>
          <w:tcPr>
            <w:tcW w:w="2515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0D7A6B">
              <w:rPr>
                <w:rFonts w:asciiTheme="majorBidi" w:hAnsiTheme="majorBidi" w:cstheme="majorBidi"/>
                <w:b/>
                <w:bCs/>
              </w:rPr>
              <w:t>What They Analyzed</w:t>
            </w:r>
          </w:p>
        </w:tc>
        <w:tc>
          <w:tcPr>
            <w:tcW w:w="7740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</w:rPr>
            </w:pPr>
            <w:r w:rsidRPr="000D7A6B">
              <w:rPr>
                <w:rFonts w:asciiTheme="majorBidi" w:hAnsiTheme="majorBidi" w:cstheme="majorBidi"/>
              </w:rPr>
              <w:t>Dynamic interactions between T&amp;D systems, simulation scalability, co-simulation accuracy, and parallel performance under various scenarios including branch faults and varying numbers of interconnected distribution grids.</w:t>
            </w:r>
          </w:p>
        </w:tc>
      </w:tr>
      <w:tr w:rsidR="004F17C1" w:rsidRPr="000D7A6B" w:rsidTr="006F17C7">
        <w:tc>
          <w:tcPr>
            <w:tcW w:w="2515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0D7A6B">
              <w:rPr>
                <w:rFonts w:asciiTheme="majorBidi" w:hAnsiTheme="majorBidi" w:cstheme="majorBidi"/>
                <w:b/>
                <w:bCs/>
              </w:rPr>
              <w:t>Results and Conclusion</w:t>
            </w:r>
          </w:p>
        </w:tc>
        <w:tc>
          <w:tcPr>
            <w:tcW w:w="7740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</w:rPr>
            </w:pPr>
            <w:r w:rsidRPr="000D7A6B">
              <w:rPr>
                <w:rFonts w:asciiTheme="majorBidi" w:hAnsiTheme="majorBidi" w:cstheme="majorBidi"/>
              </w:rPr>
              <w:t>Demonstrated high scalability and faster-than-real-time (FTRT) performance. Co-simulation captured finer dynamic interactions compared to standalone simulations, proving its effectiveness and potential for large-scale studies.</w:t>
            </w:r>
          </w:p>
        </w:tc>
      </w:tr>
      <w:tr w:rsidR="004F17C1" w:rsidRPr="000D7A6B" w:rsidTr="006F17C7">
        <w:tc>
          <w:tcPr>
            <w:tcW w:w="2515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0D7A6B">
              <w:rPr>
                <w:rFonts w:asciiTheme="majorBidi" w:hAnsiTheme="majorBidi" w:cstheme="majorBidi"/>
                <w:b/>
                <w:bCs/>
              </w:rPr>
              <w:t>Novel Contributions</w:t>
            </w:r>
          </w:p>
        </w:tc>
        <w:tc>
          <w:tcPr>
            <w:tcW w:w="7740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</w:rPr>
            </w:pPr>
            <w:r w:rsidRPr="000D7A6B">
              <w:rPr>
                <w:rFonts w:asciiTheme="majorBidi" w:hAnsiTheme="majorBidi" w:cstheme="majorBidi"/>
              </w:rPr>
              <w:t xml:space="preserve">Introduced an HPC-based T&amp;D co-simulation framework integrating </w:t>
            </w:r>
            <w:proofErr w:type="spellStart"/>
            <w:r w:rsidRPr="000D7A6B">
              <w:rPr>
                <w:rFonts w:asciiTheme="majorBidi" w:hAnsiTheme="majorBidi" w:cstheme="majorBidi"/>
              </w:rPr>
              <w:t>GridPACK</w:t>
            </w:r>
            <w:proofErr w:type="spellEnd"/>
            <w:r w:rsidRPr="000D7A6B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0D7A6B">
              <w:rPr>
                <w:rFonts w:asciiTheme="majorBidi" w:hAnsiTheme="majorBidi" w:cstheme="majorBidi"/>
              </w:rPr>
              <w:t>GridLAB</w:t>
            </w:r>
            <w:proofErr w:type="spellEnd"/>
            <w:r w:rsidRPr="000D7A6B">
              <w:rPr>
                <w:rFonts w:asciiTheme="majorBidi" w:hAnsiTheme="majorBidi" w:cstheme="majorBidi"/>
              </w:rPr>
              <w:t xml:space="preserve">-D, and HELICS. Maintained inherent parallelism of </w:t>
            </w:r>
            <w:proofErr w:type="spellStart"/>
            <w:r w:rsidRPr="000D7A6B">
              <w:rPr>
                <w:rFonts w:asciiTheme="majorBidi" w:hAnsiTheme="majorBidi" w:cstheme="majorBidi"/>
              </w:rPr>
              <w:t>GridPACK</w:t>
            </w:r>
            <w:proofErr w:type="spellEnd"/>
            <w:r w:rsidRPr="000D7A6B">
              <w:rPr>
                <w:rFonts w:asciiTheme="majorBidi" w:hAnsiTheme="majorBidi" w:cstheme="majorBidi"/>
              </w:rPr>
              <w:t xml:space="preserve"> while enabling large-scale distributed simulations on modern HPC platforms.</w:t>
            </w:r>
          </w:p>
        </w:tc>
      </w:tr>
      <w:tr w:rsidR="004F17C1" w:rsidRPr="000D7A6B" w:rsidTr="006F17C7">
        <w:tc>
          <w:tcPr>
            <w:tcW w:w="2515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0D7A6B">
              <w:rPr>
                <w:rFonts w:asciiTheme="majorBidi" w:hAnsiTheme="majorBidi" w:cstheme="majorBidi"/>
                <w:b/>
                <w:bCs/>
              </w:rPr>
              <w:lastRenderedPageBreak/>
              <w:t>Simulation Scenarios</w:t>
            </w:r>
          </w:p>
        </w:tc>
        <w:tc>
          <w:tcPr>
            <w:tcW w:w="7740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</w:rPr>
            </w:pPr>
            <w:r w:rsidRPr="000D7A6B">
              <w:rPr>
                <w:rFonts w:asciiTheme="majorBidi" w:hAnsiTheme="majorBidi" w:cstheme="majorBidi"/>
              </w:rPr>
              <w:t>Tested scenarios include a 3000-bus transmission grid interconnected with IEEE 123-node distribution systems under various configurations (1:1, 1:10, 1:100). Simulated branch faults and assessed rotor speeds and feeder voltages.</w:t>
            </w:r>
          </w:p>
        </w:tc>
      </w:tr>
      <w:tr w:rsidR="004F17C1" w:rsidRPr="000D7A6B" w:rsidTr="006F17C7">
        <w:tc>
          <w:tcPr>
            <w:tcW w:w="2515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0D7A6B">
              <w:rPr>
                <w:rFonts w:asciiTheme="majorBidi" w:hAnsiTheme="majorBidi" w:cstheme="majorBidi"/>
                <w:b/>
                <w:bCs/>
              </w:rPr>
              <w:t>Challenges Addressed</w:t>
            </w:r>
          </w:p>
        </w:tc>
        <w:tc>
          <w:tcPr>
            <w:tcW w:w="7740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</w:rPr>
            </w:pPr>
            <w:r w:rsidRPr="000D7A6B">
              <w:rPr>
                <w:rFonts w:asciiTheme="majorBidi" w:hAnsiTheme="majorBidi" w:cstheme="majorBidi"/>
              </w:rPr>
              <w:t>Traditional T&amp;D simulations lacked integrated frameworks for dynamic interactions. Standalone tools were limited in scalability and parallelism. The framework overcomes these by leveraging HPC capabilities and open-source tools.</w:t>
            </w:r>
          </w:p>
        </w:tc>
      </w:tr>
      <w:tr w:rsidR="004F17C1" w:rsidRPr="000D7A6B" w:rsidTr="006F17C7">
        <w:tc>
          <w:tcPr>
            <w:tcW w:w="2515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0D7A6B">
              <w:rPr>
                <w:rFonts w:asciiTheme="majorBidi" w:hAnsiTheme="majorBidi" w:cstheme="majorBidi"/>
                <w:b/>
                <w:bCs/>
              </w:rPr>
              <w:t>Impact of Work</w:t>
            </w:r>
          </w:p>
        </w:tc>
        <w:tc>
          <w:tcPr>
            <w:tcW w:w="7740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</w:rPr>
            </w:pPr>
            <w:r w:rsidRPr="000D7A6B">
              <w:rPr>
                <w:rFonts w:asciiTheme="majorBidi" w:hAnsiTheme="majorBidi" w:cstheme="majorBidi"/>
              </w:rPr>
              <w:t>The framework enables efficient large-scale T&amp;D co-simulations for real-time applications, supports grid resilience studies, and provides an open-source platform for advancing research and development in grid dynamics modeling.</w:t>
            </w:r>
          </w:p>
        </w:tc>
      </w:tr>
      <w:tr w:rsidR="004F17C1" w:rsidRPr="000D7A6B" w:rsidTr="006F17C7">
        <w:tc>
          <w:tcPr>
            <w:tcW w:w="2515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0D7A6B">
              <w:rPr>
                <w:rFonts w:asciiTheme="majorBidi" w:hAnsiTheme="majorBidi" w:cstheme="majorBidi"/>
                <w:b/>
                <w:bCs/>
              </w:rPr>
              <w:t>Comparison to Existing Work</w:t>
            </w:r>
          </w:p>
        </w:tc>
        <w:tc>
          <w:tcPr>
            <w:tcW w:w="7740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</w:rPr>
            </w:pPr>
            <w:r w:rsidRPr="000D7A6B">
              <w:rPr>
                <w:rFonts w:asciiTheme="majorBidi" w:hAnsiTheme="majorBidi" w:cstheme="majorBidi"/>
              </w:rPr>
              <w:t>Extends previous efforts by retaining parallel computation capabilities, enabling finer dynamic interaction analysis, and achieving superior scalability compared to standalone or less integrated co-simulation frameworks.</w:t>
            </w:r>
          </w:p>
        </w:tc>
      </w:tr>
    </w:tbl>
    <w:p w:rsidR="001301AA" w:rsidRPr="000D7A6B" w:rsidRDefault="001301AA" w:rsidP="000D7A6B">
      <w:pPr>
        <w:tabs>
          <w:tab w:val="left" w:pos="2430"/>
        </w:tabs>
        <w:jc w:val="both"/>
        <w:rPr>
          <w:rFonts w:asciiTheme="majorBidi" w:hAnsiTheme="majorBidi" w:cstheme="majorBidi"/>
        </w:rPr>
      </w:pPr>
    </w:p>
    <w:p w:rsidR="001301AA" w:rsidRPr="000D7A6B" w:rsidRDefault="001301AA" w:rsidP="000D7A6B">
      <w:pPr>
        <w:tabs>
          <w:tab w:val="left" w:pos="2430"/>
        </w:tabs>
        <w:jc w:val="both"/>
        <w:rPr>
          <w:rFonts w:asciiTheme="majorBidi" w:hAnsiTheme="majorBidi" w:cstheme="majorBidi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515"/>
        <w:gridCol w:w="7740"/>
      </w:tblGrid>
      <w:tr w:rsidR="001301AA" w:rsidRPr="000D7A6B" w:rsidTr="008C27A9">
        <w:tc>
          <w:tcPr>
            <w:tcW w:w="10255" w:type="dxa"/>
            <w:gridSpan w:val="2"/>
            <w:shd w:val="clear" w:color="auto" w:fill="E2EFD9" w:themeFill="accent6" w:themeFillTint="33"/>
          </w:tcPr>
          <w:p w:rsidR="001301AA" w:rsidRPr="008C27A9" w:rsidRDefault="001301AA" w:rsidP="008C27A9">
            <w:pPr>
              <w:tabs>
                <w:tab w:val="left" w:pos="4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C27A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Paper </w:t>
            </w:r>
            <w:r w:rsidRPr="008C27A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4</w:t>
            </w:r>
          </w:p>
        </w:tc>
      </w:tr>
      <w:tr w:rsidR="001301AA" w:rsidRPr="000D7A6B" w:rsidTr="006F17C7">
        <w:tc>
          <w:tcPr>
            <w:tcW w:w="2515" w:type="dxa"/>
          </w:tcPr>
          <w:p w:rsidR="001301AA" w:rsidRPr="000D7A6B" w:rsidRDefault="001301AA" w:rsidP="000D7A6B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0D7A6B">
              <w:rPr>
                <w:rFonts w:asciiTheme="majorBidi" w:hAnsiTheme="majorBidi" w:cstheme="majorBidi"/>
                <w:b/>
                <w:bCs/>
              </w:rPr>
              <w:t>Title of the Paper</w:t>
            </w:r>
          </w:p>
        </w:tc>
        <w:tc>
          <w:tcPr>
            <w:tcW w:w="7740" w:type="dxa"/>
          </w:tcPr>
          <w:p w:rsidR="001301AA" w:rsidRPr="000D7A6B" w:rsidRDefault="001301AA" w:rsidP="000D7A6B">
            <w:pPr>
              <w:jc w:val="both"/>
              <w:rPr>
                <w:rFonts w:asciiTheme="majorBidi" w:hAnsiTheme="majorBidi" w:cstheme="majorBidi"/>
              </w:rPr>
            </w:pPr>
            <w:r w:rsidRPr="000D7A6B">
              <w:rPr>
                <w:rFonts w:asciiTheme="majorBidi" w:hAnsiTheme="majorBidi" w:cstheme="majorBidi"/>
              </w:rPr>
              <w:t>High-Performance Transmission and Distribution Co-simulation with 10,000+ Inverter-Based Resources</w:t>
            </w:r>
          </w:p>
        </w:tc>
      </w:tr>
      <w:tr w:rsidR="00A57ADA" w:rsidRPr="000D7A6B" w:rsidTr="006F17C7">
        <w:tc>
          <w:tcPr>
            <w:tcW w:w="2515" w:type="dxa"/>
          </w:tcPr>
          <w:p w:rsidR="00A57ADA" w:rsidRPr="000D7A6B" w:rsidRDefault="00A57ADA" w:rsidP="000D7A6B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A57ADA">
              <w:rPr>
                <w:rFonts w:asciiTheme="majorBidi" w:hAnsiTheme="majorBidi" w:cstheme="majorBidi"/>
                <w:b/>
                <w:bCs/>
              </w:rPr>
              <w:t>Year and Journal</w:t>
            </w:r>
          </w:p>
        </w:tc>
        <w:tc>
          <w:tcPr>
            <w:tcW w:w="7740" w:type="dxa"/>
          </w:tcPr>
          <w:p w:rsidR="00A57ADA" w:rsidRPr="000D7A6B" w:rsidRDefault="00A57ADA" w:rsidP="000D7A6B">
            <w:pPr>
              <w:jc w:val="both"/>
              <w:rPr>
                <w:rFonts w:asciiTheme="majorBidi" w:hAnsiTheme="majorBidi" w:cstheme="majorBidi"/>
              </w:rPr>
            </w:pPr>
            <w:r w:rsidRPr="00A57ADA">
              <w:rPr>
                <w:rFonts w:asciiTheme="majorBidi" w:hAnsiTheme="majorBidi" w:cstheme="majorBidi"/>
              </w:rPr>
              <w:t>2022, IEEE Industry Applications Society Annual Meeting (IAS)</w:t>
            </w:r>
          </w:p>
        </w:tc>
      </w:tr>
      <w:tr w:rsidR="004F17C1" w:rsidRPr="000D7A6B" w:rsidTr="006F17C7">
        <w:tc>
          <w:tcPr>
            <w:tcW w:w="2515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0D7A6B">
              <w:rPr>
                <w:rFonts w:asciiTheme="majorBidi" w:hAnsiTheme="majorBidi" w:cstheme="majorBidi"/>
                <w:b/>
                <w:bCs/>
              </w:rPr>
              <w:t>Authors and Affiliations</w:t>
            </w:r>
          </w:p>
        </w:tc>
        <w:tc>
          <w:tcPr>
            <w:tcW w:w="7740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</w:rPr>
            </w:pPr>
            <w:r w:rsidRPr="000D7A6B">
              <w:rPr>
                <w:rFonts w:asciiTheme="majorBidi" w:hAnsiTheme="majorBidi" w:cstheme="majorBidi"/>
              </w:rPr>
              <w:t xml:space="preserve">Yuan Liu, </w:t>
            </w:r>
            <w:proofErr w:type="spellStart"/>
            <w:r w:rsidRPr="000D7A6B">
              <w:rPr>
                <w:rFonts w:asciiTheme="majorBidi" w:hAnsiTheme="majorBidi" w:cstheme="majorBidi"/>
              </w:rPr>
              <w:t>Renke</w:t>
            </w:r>
            <w:proofErr w:type="spellEnd"/>
            <w:r w:rsidRPr="000D7A6B">
              <w:rPr>
                <w:rFonts w:asciiTheme="majorBidi" w:hAnsiTheme="majorBidi" w:cstheme="majorBidi"/>
              </w:rPr>
              <w:t xml:space="preserve"> Huang, Wei Du, </w:t>
            </w:r>
            <w:proofErr w:type="spellStart"/>
            <w:r w:rsidRPr="000D7A6B">
              <w:rPr>
                <w:rFonts w:asciiTheme="majorBidi" w:hAnsiTheme="majorBidi" w:cstheme="majorBidi"/>
              </w:rPr>
              <w:t>Ankit</w:t>
            </w:r>
            <w:proofErr w:type="spellEnd"/>
            <w:r w:rsidRPr="000D7A6B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0D7A6B">
              <w:rPr>
                <w:rFonts w:asciiTheme="majorBidi" w:hAnsiTheme="majorBidi" w:cstheme="majorBidi"/>
              </w:rPr>
              <w:t>Singhal</w:t>
            </w:r>
            <w:proofErr w:type="spellEnd"/>
            <w:r w:rsidRPr="000D7A6B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0D7A6B">
              <w:rPr>
                <w:rFonts w:asciiTheme="majorBidi" w:hAnsiTheme="majorBidi" w:cstheme="majorBidi"/>
              </w:rPr>
              <w:t>Zhenyu</w:t>
            </w:r>
            <w:proofErr w:type="spellEnd"/>
            <w:r w:rsidRPr="000D7A6B">
              <w:rPr>
                <w:rFonts w:asciiTheme="majorBidi" w:hAnsiTheme="majorBidi" w:cstheme="majorBidi"/>
              </w:rPr>
              <w:t xml:space="preserve"> Huang (Pacific Northwest National Laboratory, PNNL)</w:t>
            </w:r>
          </w:p>
        </w:tc>
      </w:tr>
      <w:tr w:rsidR="004F17C1" w:rsidRPr="000D7A6B" w:rsidTr="006F17C7">
        <w:tc>
          <w:tcPr>
            <w:tcW w:w="2515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0D7A6B">
              <w:rPr>
                <w:rFonts w:asciiTheme="majorBidi" w:hAnsiTheme="majorBidi" w:cstheme="majorBidi"/>
                <w:b/>
                <w:bCs/>
              </w:rPr>
              <w:t>Tools Used</w:t>
            </w:r>
          </w:p>
        </w:tc>
        <w:tc>
          <w:tcPr>
            <w:tcW w:w="7740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 w:rsidRPr="000D7A6B">
              <w:rPr>
                <w:rFonts w:asciiTheme="majorBidi" w:hAnsiTheme="majorBidi" w:cstheme="majorBidi"/>
              </w:rPr>
              <w:t>GridPACK</w:t>
            </w:r>
            <w:proofErr w:type="spellEnd"/>
            <w:r w:rsidRPr="000D7A6B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0D7A6B">
              <w:rPr>
                <w:rFonts w:asciiTheme="majorBidi" w:hAnsiTheme="majorBidi" w:cstheme="majorBidi"/>
              </w:rPr>
              <w:t>GridLAB</w:t>
            </w:r>
            <w:proofErr w:type="spellEnd"/>
            <w:r w:rsidRPr="000D7A6B">
              <w:rPr>
                <w:rFonts w:asciiTheme="majorBidi" w:hAnsiTheme="majorBidi" w:cstheme="majorBidi"/>
              </w:rPr>
              <w:t>-D, HELICS, HPC resources</w:t>
            </w:r>
          </w:p>
        </w:tc>
      </w:tr>
      <w:tr w:rsidR="004F17C1" w:rsidRPr="000D7A6B" w:rsidTr="006F17C7">
        <w:tc>
          <w:tcPr>
            <w:tcW w:w="2515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0D7A6B">
              <w:rPr>
                <w:rFonts w:asciiTheme="majorBidi" w:hAnsiTheme="majorBidi" w:cstheme="majorBidi"/>
                <w:b/>
                <w:bCs/>
              </w:rPr>
              <w:t>Aim of the Paper</w:t>
            </w:r>
          </w:p>
        </w:tc>
        <w:tc>
          <w:tcPr>
            <w:tcW w:w="7740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</w:rPr>
            </w:pPr>
            <w:r w:rsidRPr="000D7A6B">
              <w:rPr>
                <w:rFonts w:asciiTheme="majorBidi" w:hAnsiTheme="majorBidi" w:cstheme="majorBidi"/>
              </w:rPr>
              <w:t>To develop a scalable T&amp;D co-simulation platform capable of dynamically modeling over 10,000 inverter-based resources (IBRs) and analyzing their impact on grid stability and transient responses under high penetration levels.</w:t>
            </w:r>
          </w:p>
        </w:tc>
      </w:tr>
      <w:tr w:rsidR="004F17C1" w:rsidRPr="000D7A6B" w:rsidTr="006F17C7">
        <w:tc>
          <w:tcPr>
            <w:tcW w:w="2515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0D7A6B">
              <w:rPr>
                <w:rFonts w:asciiTheme="majorBidi" w:hAnsiTheme="majorBidi" w:cstheme="majorBidi"/>
                <w:b/>
                <w:bCs/>
              </w:rPr>
              <w:t>What They Analyzed</w:t>
            </w:r>
          </w:p>
        </w:tc>
        <w:tc>
          <w:tcPr>
            <w:tcW w:w="7740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</w:rPr>
            </w:pPr>
            <w:r w:rsidRPr="000D7A6B">
              <w:rPr>
                <w:rFonts w:asciiTheme="majorBidi" w:hAnsiTheme="majorBidi" w:cstheme="majorBidi"/>
              </w:rPr>
              <w:t>Dynamic stability, frequency response, and voltage regulation under high penetration of grid-forming (GFM) and grid-following (GFL) inverters. Impact of inverter control strategies on large-scale T&amp;D systems.</w:t>
            </w:r>
          </w:p>
        </w:tc>
      </w:tr>
      <w:tr w:rsidR="004F17C1" w:rsidRPr="000D7A6B" w:rsidTr="006F17C7">
        <w:tc>
          <w:tcPr>
            <w:tcW w:w="2515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0D7A6B">
              <w:rPr>
                <w:rFonts w:asciiTheme="majorBidi" w:hAnsiTheme="majorBidi" w:cstheme="majorBidi"/>
                <w:b/>
                <w:bCs/>
              </w:rPr>
              <w:t>Results and Conclusion</w:t>
            </w:r>
          </w:p>
        </w:tc>
        <w:tc>
          <w:tcPr>
            <w:tcW w:w="7740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</w:rPr>
            </w:pPr>
            <w:r w:rsidRPr="000D7A6B">
              <w:rPr>
                <w:rFonts w:asciiTheme="majorBidi" w:hAnsiTheme="majorBidi" w:cstheme="majorBidi"/>
              </w:rPr>
              <w:t>GFM inverters significantly enhance stability during contingencies, such as generator tripping. The platform achieved seamless integration of T&amp;D models and provided insights into how IBRs can stabilize weak grids.</w:t>
            </w:r>
          </w:p>
        </w:tc>
      </w:tr>
      <w:tr w:rsidR="004F17C1" w:rsidRPr="000D7A6B" w:rsidTr="006F17C7">
        <w:tc>
          <w:tcPr>
            <w:tcW w:w="2515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0D7A6B">
              <w:rPr>
                <w:rFonts w:asciiTheme="majorBidi" w:hAnsiTheme="majorBidi" w:cstheme="majorBidi"/>
                <w:b/>
                <w:bCs/>
              </w:rPr>
              <w:t>Novel Contributions</w:t>
            </w:r>
          </w:p>
        </w:tc>
        <w:tc>
          <w:tcPr>
            <w:tcW w:w="7740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</w:rPr>
            </w:pPr>
            <w:r w:rsidRPr="000D7A6B">
              <w:rPr>
                <w:rFonts w:asciiTheme="majorBidi" w:hAnsiTheme="majorBidi" w:cstheme="majorBidi"/>
              </w:rPr>
              <w:t>Developed a co-simulation platform capable of integrating over 10,000 real inverter models. Introduced an iterative T&amp;D power flow initialization method for enhanced numerical stability. Demonstrated large-scale dynamic simulation capabilities.</w:t>
            </w:r>
          </w:p>
        </w:tc>
      </w:tr>
      <w:tr w:rsidR="004F17C1" w:rsidRPr="000D7A6B" w:rsidTr="006F17C7">
        <w:tc>
          <w:tcPr>
            <w:tcW w:w="2515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0D7A6B">
              <w:rPr>
                <w:rFonts w:asciiTheme="majorBidi" w:hAnsiTheme="majorBidi" w:cstheme="majorBidi"/>
                <w:b/>
                <w:bCs/>
              </w:rPr>
              <w:t>Simulation Scenarios</w:t>
            </w:r>
          </w:p>
        </w:tc>
        <w:tc>
          <w:tcPr>
            <w:tcW w:w="7740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</w:rPr>
            </w:pPr>
            <w:r w:rsidRPr="000D7A6B">
              <w:rPr>
                <w:rFonts w:asciiTheme="majorBidi" w:hAnsiTheme="majorBidi" w:cstheme="majorBidi"/>
              </w:rPr>
              <w:t>Simulated 10,450 inverters distributed as 50% GFM and 50% GFL. Studied scenarios including generator tripping, varying IBR penetration, and the impact of inverter control types on frequency and voltage stability.</w:t>
            </w:r>
          </w:p>
        </w:tc>
      </w:tr>
      <w:tr w:rsidR="004F17C1" w:rsidRPr="000D7A6B" w:rsidTr="006F17C7">
        <w:tc>
          <w:tcPr>
            <w:tcW w:w="2515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0D7A6B">
              <w:rPr>
                <w:rFonts w:asciiTheme="majorBidi" w:hAnsiTheme="majorBidi" w:cstheme="majorBidi"/>
                <w:b/>
                <w:bCs/>
              </w:rPr>
              <w:t>Challenges Addressed</w:t>
            </w:r>
          </w:p>
        </w:tc>
        <w:tc>
          <w:tcPr>
            <w:tcW w:w="7740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</w:rPr>
            </w:pPr>
            <w:r w:rsidRPr="000D7A6B">
              <w:rPr>
                <w:rFonts w:asciiTheme="majorBidi" w:hAnsiTheme="majorBidi" w:cstheme="majorBidi"/>
              </w:rPr>
              <w:t>Overcame limitations of aggregated inverter models, lack of realistic dynamic models, and challenges in scaling co-simulations for high-penetration renewable systems.</w:t>
            </w:r>
          </w:p>
        </w:tc>
      </w:tr>
      <w:tr w:rsidR="004F17C1" w:rsidRPr="000D7A6B" w:rsidTr="006F17C7">
        <w:tc>
          <w:tcPr>
            <w:tcW w:w="2515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0D7A6B">
              <w:rPr>
                <w:rFonts w:asciiTheme="majorBidi" w:hAnsiTheme="majorBidi" w:cstheme="majorBidi"/>
                <w:b/>
                <w:bCs/>
              </w:rPr>
              <w:t>Impact of Work</w:t>
            </w:r>
          </w:p>
        </w:tc>
        <w:tc>
          <w:tcPr>
            <w:tcW w:w="7740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</w:rPr>
            </w:pPr>
            <w:r w:rsidRPr="000D7A6B">
              <w:rPr>
                <w:rFonts w:asciiTheme="majorBidi" w:hAnsiTheme="majorBidi" w:cstheme="majorBidi"/>
              </w:rPr>
              <w:t>Facilitates understanding of how inverter control strategies impact T&amp;D systems under high renewable penetration. Supports the design of more stable and resilient power grids.</w:t>
            </w:r>
          </w:p>
        </w:tc>
      </w:tr>
      <w:tr w:rsidR="004F17C1" w:rsidRPr="000D7A6B" w:rsidTr="006F17C7">
        <w:tc>
          <w:tcPr>
            <w:tcW w:w="2515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0D7A6B">
              <w:rPr>
                <w:rFonts w:asciiTheme="majorBidi" w:hAnsiTheme="majorBidi" w:cstheme="majorBidi"/>
                <w:b/>
                <w:bCs/>
              </w:rPr>
              <w:t>Comparison to Existing Work</w:t>
            </w:r>
          </w:p>
        </w:tc>
        <w:tc>
          <w:tcPr>
            <w:tcW w:w="7740" w:type="dxa"/>
          </w:tcPr>
          <w:p w:rsidR="004F17C1" w:rsidRPr="000D7A6B" w:rsidRDefault="004F17C1" w:rsidP="004F17C1">
            <w:pPr>
              <w:jc w:val="both"/>
              <w:rPr>
                <w:rFonts w:asciiTheme="majorBidi" w:hAnsiTheme="majorBidi" w:cstheme="majorBidi"/>
              </w:rPr>
            </w:pPr>
            <w:r w:rsidRPr="000D7A6B">
              <w:rPr>
                <w:rFonts w:asciiTheme="majorBidi" w:hAnsiTheme="majorBidi" w:cstheme="majorBidi"/>
              </w:rPr>
              <w:t>Extended previous efforts by incorporating more advanced IBR models, significantly increasing co-simulation scalability, and achieving high-fidelity modeling of dynamic interactions in T&amp;D systems.</w:t>
            </w:r>
          </w:p>
        </w:tc>
      </w:tr>
    </w:tbl>
    <w:p w:rsidR="001301AA" w:rsidRPr="000D7A6B" w:rsidRDefault="001301AA" w:rsidP="000D7A6B">
      <w:pPr>
        <w:tabs>
          <w:tab w:val="left" w:pos="2430"/>
        </w:tabs>
        <w:jc w:val="both"/>
        <w:rPr>
          <w:rFonts w:asciiTheme="majorBidi" w:hAnsiTheme="majorBidi" w:cstheme="majorBidi"/>
        </w:rPr>
      </w:pPr>
    </w:p>
    <w:p w:rsidR="001301AA" w:rsidRPr="000D7A6B" w:rsidRDefault="001301AA" w:rsidP="000D7A6B">
      <w:pPr>
        <w:tabs>
          <w:tab w:val="left" w:pos="1310"/>
        </w:tabs>
        <w:jc w:val="both"/>
        <w:rPr>
          <w:rFonts w:asciiTheme="majorBidi" w:hAnsiTheme="majorBidi" w:cstheme="majorBidi"/>
        </w:rPr>
      </w:pPr>
      <w:r w:rsidRPr="000D7A6B">
        <w:rPr>
          <w:rFonts w:asciiTheme="majorBidi" w:hAnsiTheme="majorBidi" w:cstheme="majorBidi"/>
        </w:rPr>
        <w:tab/>
      </w:r>
    </w:p>
    <w:p w:rsidR="001301AA" w:rsidRPr="000D7A6B" w:rsidRDefault="001301AA" w:rsidP="000D7A6B">
      <w:pPr>
        <w:tabs>
          <w:tab w:val="left" w:pos="1310"/>
        </w:tabs>
        <w:jc w:val="both"/>
        <w:rPr>
          <w:rFonts w:asciiTheme="majorBidi" w:hAnsiTheme="majorBidi" w:cstheme="majorBidi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515"/>
        <w:gridCol w:w="7740"/>
      </w:tblGrid>
      <w:tr w:rsidR="001301AA" w:rsidRPr="000D7A6B" w:rsidTr="008C27A9">
        <w:tc>
          <w:tcPr>
            <w:tcW w:w="10255" w:type="dxa"/>
            <w:gridSpan w:val="2"/>
            <w:shd w:val="clear" w:color="auto" w:fill="E2EFD9" w:themeFill="accent6" w:themeFillTint="33"/>
          </w:tcPr>
          <w:p w:rsidR="001301AA" w:rsidRPr="008C27A9" w:rsidRDefault="001301AA" w:rsidP="008C27A9">
            <w:pPr>
              <w:tabs>
                <w:tab w:val="center" w:pos="5019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C27A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lastRenderedPageBreak/>
              <w:t xml:space="preserve">Paper </w:t>
            </w:r>
            <w:r w:rsidRPr="008C27A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5</w:t>
            </w:r>
          </w:p>
        </w:tc>
      </w:tr>
      <w:tr w:rsidR="001301AA" w:rsidRPr="000D7A6B" w:rsidTr="006F17C7">
        <w:tc>
          <w:tcPr>
            <w:tcW w:w="2515" w:type="dxa"/>
          </w:tcPr>
          <w:p w:rsidR="001301AA" w:rsidRPr="000D7A6B" w:rsidRDefault="001301AA" w:rsidP="008C27A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D7A6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Title of the Paper</w:t>
            </w:r>
          </w:p>
        </w:tc>
        <w:tc>
          <w:tcPr>
            <w:tcW w:w="7740" w:type="dxa"/>
          </w:tcPr>
          <w:p w:rsidR="001301AA" w:rsidRPr="000D7A6B" w:rsidRDefault="001301AA" w:rsidP="008C27A9">
            <w:pPr>
              <w:rPr>
                <w:rFonts w:asciiTheme="majorBidi" w:hAnsiTheme="majorBidi" w:cstheme="majorBidi"/>
              </w:rPr>
            </w:pPr>
            <w:r w:rsidRPr="000D7A6B">
              <w:rPr>
                <w:rFonts w:asciiTheme="majorBidi" w:hAnsiTheme="majorBidi" w:cstheme="majorBidi"/>
              </w:rPr>
              <w:t xml:space="preserve">Validation of </w:t>
            </w:r>
            <w:proofErr w:type="spellStart"/>
            <w:r w:rsidRPr="000D7A6B">
              <w:rPr>
                <w:rFonts w:asciiTheme="majorBidi" w:hAnsiTheme="majorBidi" w:cstheme="majorBidi"/>
              </w:rPr>
              <w:t>Phasor</w:t>
            </w:r>
            <w:proofErr w:type="spellEnd"/>
            <w:r w:rsidRPr="000D7A6B">
              <w:rPr>
                <w:rFonts w:asciiTheme="majorBidi" w:hAnsiTheme="majorBidi" w:cstheme="majorBidi"/>
              </w:rPr>
              <w:t>-Domain Transmission and Distribution Co-simulation Against Electromagnetic Transient Simulation</w:t>
            </w:r>
          </w:p>
        </w:tc>
      </w:tr>
      <w:tr w:rsidR="00A57ADA" w:rsidRPr="000D7A6B" w:rsidTr="006F17C7">
        <w:tc>
          <w:tcPr>
            <w:tcW w:w="2515" w:type="dxa"/>
          </w:tcPr>
          <w:p w:rsidR="00A57ADA" w:rsidRPr="000D7A6B" w:rsidRDefault="00A57ADA" w:rsidP="008C27A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57ADA">
              <w:rPr>
                <w:rFonts w:asciiTheme="majorBidi" w:hAnsiTheme="majorBidi" w:cstheme="majorBidi"/>
                <w:b/>
                <w:bCs/>
              </w:rPr>
              <w:t>Year and Journal</w:t>
            </w:r>
          </w:p>
        </w:tc>
        <w:tc>
          <w:tcPr>
            <w:tcW w:w="7740" w:type="dxa"/>
          </w:tcPr>
          <w:p w:rsidR="00A57ADA" w:rsidRPr="000D7A6B" w:rsidRDefault="00A57ADA" w:rsidP="008C27A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2024, ELSEVIER</w:t>
            </w:r>
          </w:p>
        </w:tc>
      </w:tr>
      <w:tr w:rsidR="004F17C1" w:rsidRPr="000D7A6B" w:rsidTr="006F17C7">
        <w:tc>
          <w:tcPr>
            <w:tcW w:w="2515" w:type="dxa"/>
          </w:tcPr>
          <w:p w:rsidR="004F17C1" w:rsidRPr="000D7A6B" w:rsidRDefault="008C27A9" w:rsidP="008C27A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Authors and </w:t>
            </w:r>
            <w:r w:rsidR="004F17C1" w:rsidRPr="000D7A6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Affiliations</w:t>
            </w:r>
          </w:p>
        </w:tc>
        <w:tc>
          <w:tcPr>
            <w:tcW w:w="7740" w:type="dxa"/>
          </w:tcPr>
          <w:p w:rsidR="004F17C1" w:rsidRPr="000D7A6B" w:rsidRDefault="004F17C1" w:rsidP="008C27A9">
            <w:pPr>
              <w:rPr>
                <w:rFonts w:asciiTheme="majorBidi" w:hAnsiTheme="majorBidi" w:cstheme="majorBidi"/>
              </w:rPr>
            </w:pPr>
            <w:proofErr w:type="spellStart"/>
            <w:r w:rsidRPr="000D7A6B">
              <w:rPr>
                <w:rFonts w:asciiTheme="majorBidi" w:hAnsiTheme="majorBidi" w:cstheme="majorBidi"/>
              </w:rPr>
              <w:t>Yousu</w:t>
            </w:r>
            <w:proofErr w:type="spellEnd"/>
            <w:r w:rsidRPr="000D7A6B">
              <w:rPr>
                <w:rFonts w:asciiTheme="majorBidi" w:hAnsiTheme="majorBidi" w:cstheme="majorBidi"/>
              </w:rPr>
              <w:t xml:space="preserve"> Chen, Yuan Liu (Pacific Northwest National Laboratory)</w:t>
            </w:r>
          </w:p>
        </w:tc>
      </w:tr>
      <w:tr w:rsidR="004F17C1" w:rsidRPr="000D7A6B" w:rsidTr="006F17C7">
        <w:tc>
          <w:tcPr>
            <w:tcW w:w="2515" w:type="dxa"/>
          </w:tcPr>
          <w:p w:rsidR="004F17C1" w:rsidRPr="000D7A6B" w:rsidRDefault="004F17C1" w:rsidP="008C27A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D7A6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Tools Used</w:t>
            </w:r>
          </w:p>
        </w:tc>
        <w:tc>
          <w:tcPr>
            <w:tcW w:w="7740" w:type="dxa"/>
          </w:tcPr>
          <w:p w:rsidR="004F17C1" w:rsidRPr="000D7A6B" w:rsidRDefault="004F17C1" w:rsidP="008C27A9">
            <w:pPr>
              <w:rPr>
                <w:rFonts w:asciiTheme="majorBidi" w:hAnsiTheme="majorBidi" w:cstheme="majorBidi"/>
              </w:rPr>
            </w:pPr>
            <w:proofErr w:type="spellStart"/>
            <w:r w:rsidRPr="000D7A6B">
              <w:rPr>
                <w:rFonts w:asciiTheme="majorBidi" w:hAnsiTheme="majorBidi" w:cstheme="majorBidi"/>
              </w:rPr>
              <w:t>GridPACK</w:t>
            </w:r>
            <w:proofErr w:type="spellEnd"/>
            <w:r w:rsidRPr="000D7A6B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0D7A6B">
              <w:rPr>
                <w:rFonts w:asciiTheme="majorBidi" w:hAnsiTheme="majorBidi" w:cstheme="majorBidi"/>
              </w:rPr>
              <w:t>GridLAB</w:t>
            </w:r>
            <w:proofErr w:type="spellEnd"/>
            <w:r w:rsidRPr="000D7A6B">
              <w:rPr>
                <w:rFonts w:asciiTheme="majorBidi" w:hAnsiTheme="majorBidi" w:cstheme="majorBidi"/>
              </w:rPr>
              <w:t>-D, HELICS, PSCAD (for validation)</w:t>
            </w:r>
          </w:p>
        </w:tc>
      </w:tr>
      <w:tr w:rsidR="004F17C1" w:rsidRPr="000D7A6B" w:rsidTr="006F17C7">
        <w:tc>
          <w:tcPr>
            <w:tcW w:w="2515" w:type="dxa"/>
          </w:tcPr>
          <w:p w:rsidR="004F17C1" w:rsidRPr="000D7A6B" w:rsidRDefault="004F17C1" w:rsidP="008C27A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D7A6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Aim of the Paper</w:t>
            </w:r>
          </w:p>
        </w:tc>
        <w:tc>
          <w:tcPr>
            <w:tcW w:w="7740" w:type="dxa"/>
          </w:tcPr>
          <w:p w:rsidR="004F17C1" w:rsidRPr="000D7A6B" w:rsidRDefault="004F17C1" w:rsidP="008C27A9">
            <w:pPr>
              <w:rPr>
                <w:rFonts w:asciiTheme="majorBidi" w:hAnsiTheme="majorBidi" w:cstheme="majorBidi"/>
              </w:rPr>
            </w:pPr>
            <w:r w:rsidRPr="000D7A6B">
              <w:rPr>
                <w:rFonts w:asciiTheme="majorBidi" w:hAnsiTheme="majorBidi" w:cstheme="majorBidi"/>
              </w:rPr>
              <w:t xml:space="preserve">To validate a scalable </w:t>
            </w:r>
            <w:proofErr w:type="spellStart"/>
            <w:r w:rsidRPr="000D7A6B">
              <w:rPr>
                <w:rFonts w:asciiTheme="majorBidi" w:hAnsiTheme="majorBidi" w:cstheme="majorBidi"/>
              </w:rPr>
              <w:t>phasor</w:t>
            </w:r>
            <w:proofErr w:type="spellEnd"/>
            <w:r w:rsidRPr="000D7A6B">
              <w:rPr>
                <w:rFonts w:asciiTheme="majorBidi" w:hAnsiTheme="majorBidi" w:cstheme="majorBidi"/>
              </w:rPr>
              <w:t>-domain T&amp;D co-simulation framework against PSCAD for modeling system dynamics with high fidelity, particularly under configurations of grid-forming and grid-following inverters.</w:t>
            </w:r>
          </w:p>
        </w:tc>
      </w:tr>
      <w:tr w:rsidR="004F17C1" w:rsidRPr="000D7A6B" w:rsidTr="006F17C7">
        <w:tc>
          <w:tcPr>
            <w:tcW w:w="2515" w:type="dxa"/>
          </w:tcPr>
          <w:p w:rsidR="004F17C1" w:rsidRPr="000D7A6B" w:rsidRDefault="004F17C1" w:rsidP="008C27A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D7A6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What They Analyzed</w:t>
            </w:r>
          </w:p>
        </w:tc>
        <w:tc>
          <w:tcPr>
            <w:tcW w:w="7740" w:type="dxa"/>
          </w:tcPr>
          <w:p w:rsidR="004F17C1" w:rsidRPr="000D7A6B" w:rsidRDefault="004F17C1" w:rsidP="008C27A9">
            <w:pPr>
              <w:rPr>
                <w:rFonts w:asciiTheme="majorBidi" w:hAnsiTheme="majorBidi" w:cstheme="majorBidi"/>
              </w:rPr>
            </w:pPr>
            <w:r w:rsidRPr="000D7A6B">
              <w:rPr>
                <w:rFonts w:asciiTheme="majorBidi" w:hAnsiTheme="majorBidi" w:cstheme="majorBidi"/>
              </w:rPr>
              <w:t>Dynamic behaviors of the T&amp;D systems, including voltage magnitudes, inverter frequency, and active power, under a three-phase line-to-ground fault scenario.</w:t>
            </w:r>
          </w:p>
        </w:tc>
      </w:tr>
      <w:tr w:rsidR="004F17C1" w:rsidRPr="000D7A6B" w:rsidTr="006F17C7">
        <w:tc>
          <w:tcPr>
            <w:tcW w:w="2515" w:type="dxa"/>
          </w:tcPr>
          <w:p w:rsidR="004F17C1" w:rsidRPr="000D7A6B" w:rsidRDefault="004F17C1" w:rsidP="008C27A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D7A6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Results and Conclusion</w:t>
            </w:r>
          </w:p>
        </w:tc>
        <w:tc>
          <w:tcPr>
            <w:tcW w:w="7740" w:type="dxa"/>
          </w:tcPr>
          <w:p w:rsidR="004F17C1" w:rsidRPr="000D7A6B" w:rsidRDefault="004F17C1" w:rsidP="008C27A9">
            <w:pPr>
              <w:rPr>
                <w:rFonts w:asciiTheme="majorBidi" w:hAnsiTheme="majorBidi" w:cstheme="majorBidi"/>
              </w:rPr>
            </w:pPr>
            <w:r w:rsidRPr="000D7A6B">
              <w:rPr>
                <w:rFonts w:asciiTheme="majorBidi" w:hAnsiTheme="majorBidi" w:cstheme="majorBidi"/>
              </w:rPr>
              <w:t>The co-simulation platform demonstrated high fidelity with a 60–100x computational speed-up compared to PSCAD. It provides a scalable and efficient tool for analyzing IBR-heavy systems while maintaining reasonable accuracy.</w:t>
            </w:r>
          </w:p>
        </w:tc>
      </w:tr>
      <w:tr w:rsidR="004F17C1" w:rsidRPr="000D7A6B" w:rsidTr="006F17C7">
        <w:tc>
          <w:tcPr>
            <w:tcW w:w="2515" w:type="dxa"/>
          </w:tcPr>
          <w:p w:rsidR="004F17C1" w:rsidRPr="000D7A6B" w:rsidRDefault="004F17C1" w:rsidP="008C27A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D7A6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Novel Contributions</w:t>
            </w:r>
          </w:p>
        </w:tc>
        <w:tc>
          <w:tcPr>
            <w:tcW w:w="7740" w:type="dxa"/>
          </w:tcPr>
          <w:p w:rsidR="004F17C1" w:rsidRPr="000D7A6B" w:rsidRDefault="004F17C1" w:rsidP="008C27A9">
            <w:pPr>
              <w:rPr>
                <w:rFonts w:asciiTheme="majorBidi" w:hAnsiTheme="majorBidi" w:cstheme="majorBidi"/>
              </w:rPr>
            </w:pPr>
            <w:r w:rsidRPr="000D7A6B">
              <w:rPr>
                <w:rFonts w:asciiTheme="majorBidi" w:hAnsiTheme="majorBidi" w:cstheme="majorBidi"/>
              </w:rPr>
              <w:t xml:space="preserve">First validation of a </w:t>
            </w:r>
            <w:proofErr w:type="spellStart"/>
            <w:r w:rsidRPr="000D7A6B">
              <w:rPr>
                <w:rFonts w:asciiTheme="majorBidi" w:hAnsiTheme="majorBidi" w:cstheme="majorBidi"/>
              </w:rPr>
              <w:t>phasor</w:t>
            </w:r>
            <w:proofErr w:type="spellEnd"/>
            <w:r w:rsidRPr="000D7A6B">
              <w:rPr>
                <w:rFonts w:asciiTheme="majorBidi" w:hAnsiTheme="majorBidi" w:cstheme="majorBidi"/>
              </w:rPr>
              <w:t>-domain T&amp;D co-simulation framework against an EMT simulation tool. Demonstrates the potential for accurate yet efficient dynamic studies in IBR-rich power systems.</w:t>
            </w:r>
          </w:p>
        </w:tc>
      </w:tr>
      <w:tr w:rsidR="004F17C1" w:rsidRPr="000D7A6B" w:rsidTr="006F17C7">
        <w:tc>
          <w:tcPr>
            <w:tcW w:w="2515" w:type="dxa"/>
          </w:tcPr>
          <w:p w:rsidR="004F17C1" w:rsidRPr="000D7A6B" w:rsidRDefault="004F17C1" w:rsidP="008C27A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D7A6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Simulation Scenarios</w:t>
            </w:r>
          </w:p>
        </w:tc>
        <w:tc>
          <w:tcPr>
            <w:tcW w:w="7740" w:type="dxa"/>
          </w:tcPr>
          <w:p w:rsidR="004F17C1" w:rsidRPr="000D7A6B" w:rsidRDefault="004F17C1" w:rsidP="008C27A9">
            <w:pPr>
              <w:rPr>
                <w:rFonts w:asciiTheme="majorBidi" w:hAnsiTheme="majorBidi" w:cstheme="majorBidi"/>
              </w:rPr>
            </w:pPr>
            <w:r w:rsidRPr="000D7A6B">
              <w:rPr>
                <w:rFonts w:asciiTheme="majorBidi" w:hAnsiTheme="majorBidi" w:cstheme="majorBidi"/>
              </w:rPr>
              <w:t>Analyzed a small-scale IEEE 39-bus transmission system integrated with an IEEE 34-node distribution feeder under a 0.1-second three-phase-to-ground fault on the transmission side.</w:t>
            </w:r>
          </w:p>
        </w:tc>
      </w:tr>
      <w:tr w:rsidR="004F17C1" w:rsidRPr="000D7A6B" w:rsidTr="006F17C7">
        <w:tc>
          <w:tcPr>
            <w:tcW w:w="2515" w:type="dxa"/>
          </w:tcPr>
          <w:p w:rsidR="004F17C1" w:rsidRPr="000D7A6B" w:rsidRDefault="004F17C1" w:rsidP="008C27A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D7A6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Challenges Addressed</w:t>
            </w:r>
          </w:p>
        </w:tc>
        <w:tc>
          <w:tcPr>
            <w:tcW w:w="7740" w:type="dxa"/>
          </w:tcPr>
          <w:p w:rsidR="004F17C1" w:rsidRPr="000D7A6B" w:rsidRDefault="004F17C1" w:rsidP="008C27A9">
            <w:pPr>
              <w:rPr>
                <w:rFonts w:asciiTheme="majorBidi" w:hAnsiTheme="majorBidi" w:cstheme="majorBidi"/>
              </w:rPr>
            </w:pPr>
            <w:r w:rsidRPr="000D7A6B">
              <w:rPr>
                <w:rFonts w:asciiTheme="majorBidi" w:hAnsiTheme="majorBidi" w:cstheme="majorBidi"/>
              </w:rPr>
              <w:t xml:space="preserve">Addressed the computational inefficiencies of EMT simulations for large systems and the lack of validated </w:t>
            </w:r>
            <w:proofErr w:type="spellStart"/>
            <w:r w:rsidRPr="000D7A6B">
              <w:rPr>
                <w:rFonts w:asciiTheme="majorBidi" w:hAnsiTheme="majorBidi" w:cstheme="majorBidi"/>
              </w:rPr>
              <w:t>phasor</w:t>
            </w:r>
            <w:proofErr w:type="spellEnd"/>
            <w:r w:rsidRPr="000D7A6B">
              <w:rPr>
                <w:rFonts w:asciiTheme="majorBidi" w:hAnsiTheme="majorBidi" w:cstheme="majorBidi"/>
              </w:rPr>
              <w:t>-domain co-simulation frameworks for T&amp;D systems with high penetration of IBRs.</w:t>
            </w:r>
          </w:p>
        </w:tc>
      </w:tr>
      <w:tr w:rsidR="004F17C1" w:rsidRPr="000D7A6B" w:rsidTr="006F17C7">
        <w:tc>
          <w:tcPr>
            <w:tcW w:w="2515" w:type="dxa"/>
          </w:tcPr>
          <w:p w:rsidR="004F17C1" w:rsidRPr="000D7A6B" w:rsidRDefault="004F17C1" w:rsidP="008C27A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D7A6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Impact of Work</w:t>
            </w:r>
          </w:p>
        </w:tc>
        <w:tc>
          <w:tcPr>
            <w:tcW w:w="7740" w:type="dxa"/>
          </w:tcPr>
          <w:p w:rsidR="004F17C1" w:rsidRPr="000D7A6B" w:rsidRDefault="004F17C1" w:rsidP="008C27A9">
            <w:pPr>
              <w:rPr>
                <w:rFonts w:asciiTheme="majorBidi" w:hAnsiTheme="majorBidi" w:cstheme="majorBidi"/>
              </w:rPr>
            </w:pPr>
            <w:r w:rsidRPr="000D7A6B">
              <w:rPr>
                <w:rFonts w:asciiTheme="majorBidi" w:hAnsiTheme="majorBidi" w:cstheme="majorBidi"/>
              </w:rPr>
              <w:t xml:space="preserve">Provides confidence in using </w:t>
            </w:r>
            <w:proofErr w:type="spellStart"/>
            <w:r w:rsidRPr="000D7A6B">
              <w:rPr>
                <w:rFonts w:asciiTheme="majorBidi" w:hAnsiTheme="majorBidi" w:cstheme="majorBidi"/>
              </w:rPr>
              <w:t>phasor</w:t>
            </w:r>
            <w:proofErr w:type="spellEnd"/>
            <w:r w:rsidRPr="000D7A6B">
              <w:rPr>
                <w:rFonts w:asciiTheme="majorBidi" w:hAnsiTheme="majorBidi" w:cstheme="majorBidi"/>
              </w:rPr>
              <w:t>-domain co-simulation for efficient and scalable analysis of T&amp;D system dynamics, enabling broader studies of fault detection and control in renewable-rich grids.</w:t>
            </w:r>
          </w:p>
        </w:tc>
      </w:tr>
      <w:tr w:rsidR="004F17C1" w:rsidRPr="000D7A6B" w:rsidTr="006F17C7">
        <w:tc>
          <w:tcPr>
            <w:tcW w:w="2515" w:type="dxa"/>
          </w:tcPr>
          <w:p w:rsidR="004F17C1" w:rsidRPr="000D7A6B" w:rsidRDefault="004F17C1" w:rsidP="008C27A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D7A6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Comparison to Existing Work</w:t>
            </w:r>
          </w:p>
        </w:tc>
        <w:tc>
          <w:tcPr>
            <w:tcW w:w="7740" w:type="dxa"/>
          </w:tcPr>
          <w:p w:rsidR="004F17C1" w:rsidRPr="000D7A6B" w:rsidRDefault="004F17C1" w:rsidP="008C27A9">
            <w:pPr>
              <w:rPr>
                <w:rFonts w:asciiTheme="majorBidi" w:hAnsiTheme="majorBidi" w:cstheme="majorBidi"/>
              </w:rPr>
            </w:pPr>
            <w:r w:rsidRPr="000D7A6B">
              <w:rPr>
                <w:rFonts w:asciiTheme="majorBidi" w:hAnsiTheme="majorBidi" w:cstheme="majorBidi"/>
              </w:rPr>
              <w:t xml:space="preserve">Extends prior co-simulation frameworks by validating </w:t>
            </w:r>
            <w:proofErr w:type="spellStart"/>
            <w:r w:rsidRPr="000D7A6B">
              <w:rPr>
                <w:rFonts w:asciiTheme="majorBidi" w:hAnsiTheme="majorBidi" w:cstheme="majorBidi"/>
              </w:rPr>
              <w:t>phasor</w:t>
            </w:r>
            <w:proofErr w:type="spellEnd"/>
            <w:r w:rsidRPr="000D7A6B">
              <w:rPr>
                <w:rFonts w:asciiTheme="majorBidi" w:hAnsiTheme="majorBidi" w:cstheme="majorBidi"/>
              </w:rPr>
              <w:t>-domain models against high-fidelity EMT simulations, offering significant computational efficiency without compromising the accuracy of results.</w:t>
            </w:r>
          </w:p>
        </w:tc>
      </w:tr>
    </w:tbl>
    <w:p w:rsidR="001301AA" w:rsidRPr="000D7A6B" w:rsidRDefault="001301AA" w:rsidP="008C27A9">
      <w:pPr>
        <w:tabs>
          <w:tab w:val="left" w:pos="1310"/>
        </w:tabs>
        <w:rPr>
          <w:rFonts w:asciiTheme="majorBidi" w:hAnsiTheme="majorBidi" w:cstheme="majorBidi"/>
        </w:rPr>
      </w:pPr>
      <w:bookmarkStart w:id="0" w:name="_GoBack"/>
      <w:bookmarkEnd w:id="0"/>
    </w:p>
    <w:sectPr w:rsidR="001301AA" w:rsidRPr="000D7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FB3"/>
    <w:rsid w:val="000D7A6B"/>
    <w:rsid w:val="001301AA"/>
    <w:rsid w:val="002966BD"/>
    <w:rsid w:val="004F17C1"/>
    <w:rsid w:val="007228F1"/>
    <w:rsid w:val="008C27A9"/>
    <w:rsid w:val="00917116"/>
    <w:rsid w:val="00A57ADA"/>
    <w:rsid w:val="00EF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3B5D05-CE11-427E-A842-9712D890F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1A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1F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EF1F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8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69DC8-67B3-4A30-9F2A-16ECEC283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1442</Words>
  <Characters>9794</Characters>
  <Application>Microsoft Office Word</Application>
  <DocSecurity>0</DocSecurity>
  <Lines>244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shirin</dc:creator>
  <cp:keywords/>
  <dc:description/>
  <cp:lastModifiedBy>shirin</cp:lastModifiedBy>
  <cp:revision>4</cp:revision>
  <dcterms:created xsi:type="dcterms:W3CDTF">2025-01-07T22:52:00Z</dcterms:created>
  <dcterms:modified xsi:type="dcterms:W3CDTF">2025-01-07T23:57:00Z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9b579abf-b600-48bb-ad75-b2ec0e2f60cb</vt:lpwstr>
  </property>
</Properties>
</file>