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REFIX INDIA INSTITUTE | REPAIR DIAGNOSIS WORKBOOK</w:t>
      </w:r>
    </w:p>
    <w:p>
      <w:r>
        <w:t>Original prototype sample. Practise on unpowered training boards with your instructor.</w:t>
      </w:r>
    </w:p>
    <w:p>
      <w:pPr>
        <w:pStyle w:val="Heading1"/>
      </w:pPr>
      <w:r>
        <w:t>Device intake and consent</w:t>
      </w:r>
    </w:p>
    <w:p>
      <w:r>
        <w:t>Record model, reported symptom, prior repairs and customer consent. Never record customer passwords.</w:t>
      </w:r>
    </w:p>
    <w:p>
      <w:pPr>
        <w:pStyle w:val="Heading1"/>
      </w:pPr>
      <w:r>
        <w:t>Safe bench checklist</w:t>
      </w:r>
    </w:p>
    <w:p>
      <w:r>
        <w:t>Disconnect power and isolate the battery per manufacturer guidance. Check ESD preparation. Stop for a swollen or hot battery.</w:t>
      </w:r>
    </w:p>
    <w:p>
      <w:pPr>
        <w:pStyle w:val="Heading1"/>
      </w:pPr>
      <w:r>
        <w:t>Observations and test plan</w:t>
      </w:r>
    </w:p>
    <w:p>
      <w:r>
        <w:t>Record visual damage and connector condition. Use service documentation for the exact model. Ask your trainer to review before powered measurements.</w:t>
      </w:r>
    </w:p>
    <w:p>
      <w:pPr>
        <w:pStyle w:val="Heading1"/>
      </w:pPr>
      <w:r>
        <w:t>Verification and handover</w:t>
      </w:r>
    </w:p>
    <w:p>
      <w:r>
        <w:t>Document evidence, repairs, verification criteria and warranty terms. Handle e-waste responsibly.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