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微软雅黑" w:hAnsi="微软雅黑" w:eastAsia="微软雅黑"/>
          <w:b/>
          <w:color w:val="1F3A66"/>
          <w:sz w:val="36"/>
        </w:rPr>
        <w:t>薪税智算 · 闪电校验 —— 项目成果说明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申报主体</w:t>
      </w:r>
      <w:r>
        <w:rPr>
          <w:rFonts w:ascii="微软雅黑" w:hAnsi="微软雅黑" w:eastAsia="微软雅黑"/>
          <w:sz w:val="21"/>
        </w:rPr>
        <w:t>：上海外服薪数据科技有限公司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服务对象</w:t>
      </w:r>
      <w:r>
        <w:rPr>
          <w:rFonts w:ascii="微软雅黑" w:hAnsi="微软雅黑" w:eastAsia="微软雅黑"/>
          <w:sz w:val="21"/>
        </w:rPr>
        <w:t>：三菱化学集团 18 家经营主体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文档用途</w:t>
      </w:r>
      <w:r>
        <w:rPr>
          <w:rFonts w:ascii="微软雅黑" w:hAnsi="微软雅黑" w:eastAsia="微软雅黑"/>
          <w:sz w:val="21"/>
        </w:rPr>
        <w:t>：东兰劳动竞赛推荐表配套成果说明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编制日期</w:t>
      </w:r>
      <w:r>
        <w:rPr>
          <w:rFonts w:ascii="微软雅黑" w:hAnsi="微软雅黑" w:eastAsia="微软雅黑"/>
          <w:sz w:val="21"/>
        </w:rPr>
        <w:t>：2026 年 10 月</w:t>
      </w:r>
    </w:p>
    <w:p>
      <w:pPr>
        <w:spacing w:after="160"/>
        <w:ind w:left="340"/>
      </w:pPr>
      <w:r>
        <w:rPr>
          <w:rFonts w:ascii="微软雅黑" w:hAnsi="微软雅黑" w:eastAsia="微软雅黑"/>
          <w:i/>
          <w:color w:val="5A6372"/>
          <w:sz w:val="19"/>
        </w:rPr>
        <w:t>本文档所有能力描述均可通过随附系统实际运行复现，不以概念演示替代真实效果。</w:t>
      </w:r>
    </w:p>
    <w:p>
      <w:pPr>
        <w:spacing w:before="80" w:after="80"/>
        <w:jc w:val="center"/>
      </w:pPr>
      <w:r>
        <w:rPr>
          <w:rFonts w:ascii="微软雅黑" w:hAnsi="微软雅黑" w:eastAsia="微软雅黑"/>
          <w:color w:val="C5CCD8"/>
          <w:sz w:val="16"/>
        </w:rPr>
        <w:t>——————————————————————————————————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A66"/>
          <w:sz w:val="27"/>
        </w:rPr>
        <w:t>一、项目背景与要解决的问题</w:t>
      </w:r>
    </w:p>
    <w:p>
      <w:pPr>
        <w:spacing w:after="120" w:line="348" w:lineRule="auto"/>
      </w:pPr>
      <w:r>
        <w:rPr>
          <w:rFonts w:ascii="微软雅黑" w:hAnsi="微软雅黑" w:eastAsia="微软雅黑"/>
          <w:sz w:val="21"/>
        </w:rPr>
        <w:t>三菱化学集团在中国境内设有 18 家独立经营主体，需完成 2024—2025 年度全员薪税核算工作。业务侧长期面临四类结构性困难：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9"/>
              </w:rPr>
              <w:t>困难</w:t>
            </w:r>
          </w:p>
        </w:tc>
        <w:tc>
          <w:tcPr>
            <w:tcW w:type="dxa" w:w="309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9"/>
              </w:rPr>
              <w:t>具体表现</w:t>
            </w:r>
          </w:p>
        </w:tc>
        <w:tc>
          <w:tcPr>
            <w:tcW w:type="dxa" w:w="309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9"/>
              </w:rPr>
              <w:t>业务影响</w:t>
            </w:r>
          </w:p>
        </w:tc>
      </w:tr>
      <w:tr>
        <w:tc>
          <w:tcPr>
            <w:tcW w:type="dxa" w:w="309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报表模板不统一</w:t>
            </w:r>
          </w:p>
        </w:tc>
        <w:tc>
          <w:tcPr>
            <w:tcW w:type="dxa" w:w="309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18 家主体各自沿用不同表头命名、不同表形态（明细长表 / 年度宽表 / 单月表），字段叫法互不兼容</w:t>
            </w:r>
          </w:p>
        </w:tc>
        <w:tc>
          <w:tcPr>
            <w:tcW w:type="dxa" w:w="309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每次核算都需人工逐张表梳理列含义，重复劳动无法沉淀</w:t>
            </w:r>
          </w:p>
        </w:tc>
      </w:tr>
      <w:tr>
        <w:tc>
          <w:tcPr>
            <w:tcW w:type="dxa" w:w="309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计税口径不一致</w:t>
            </w:r>
          </w:p>
        </w:tc>
        <w:tc>
          <w:tcPr>
            <w:tcW w:type="dxa" w:w="309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各主体计税参数、社保公积金基数上下限、专项附加扣除口径存在差异</w:t>
            </w:r>
          </w:p>
        </w:tc>
        <w:tc>
          <w:tcPr>
            <w:tcW w:type="dxa" w:w="309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结果缺乏横向可比性，集团层面难以汇总复核</w:t>
            </w:r>
          </w:p>
        </w:tc>
      </w:tr>
      <w:tr>
        <w:tc>
          <w:tcPr>
            <w:tcW w:type="dxa" w:w="309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人工核算效率低</w:t>
            </w:r>
          </w:p>
        </w:tc>
        <w:tc>
          <w:tcPr>
            <w:tcW w:type="dxa" w:w="309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薪税计算与数据核对全靠手工，单周期投入大量工时</w:t>
            </w:r>
          </w:p>
        </w:tc>
        <w:tc>
          <w:tcPr>
            <w:tcW w:type="dxa" w:w="309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极易出现交付延期，风险集中在下游</w:t>
            </w:r>
          </w:p>
        </w:tc>
      </w:tr>
      <w:tr>
        <w:tc>
          <w:tcPr>
            <w:tcW w:type="dxa" w:w="309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薪酬人员无编程能力</w:t>
            </w:r>
          </w:p>
        </w:tc>
        <w:tc>
          <w:tcPr>
            <w:tcW w:type="dxa" w:w="309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规则调整、数据复盘、报表变更均需提需求给研发排期</w:t>
            </w:r>
          </w:p>
        </w:tc>
        <w:tc>
          <w:tcPr>
            <w:tcW w:type="dxa" w:w="309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业务响应受制于研发资源，自主迭代能力弱</w:t>
            </w:r>
          </w:p>
        </w:tc>
      </w:tr>
    </w:tbl>
    <w:p/>
    <w:p>
      <w:pPr>
        <w:spacing w:after="120" w:line="348" w:lineRule="auto"/>
      </w:pPr>
      <w:r>
        <w:rPr>
          <w:rFonts w:ascii="微软雅黑" w:hAnsi="微软雅黑" w:eastAsia="微软雅黑"/>
          <w:sz w:val="21"/>
        </w:rPr>
        <w:t>本项目与研发共同推进，目标是用「标准化规则 + 自动核算 + 智能比对」替代人工逐行核对，把薪税核算从</w:t>
      </w:r>
      <w:r>
        <w:rPr>
          <w:rFonts w:ascii="微软雅黑" w:hAnsi="微软雅黑" w:eastAsia="微软雅黑"/>
          <w:b/>
          <w:sz w:val="21"/>
        </w:rPr>
        <w:t>人力密集的手工作业</w:t>
      </w:r>
      <w:r>
        <w:rPr>
          <w:rFonts w:ascii="微软雅黑" w:hAnsi="微软雅黑" w:eastAsia="微软雅黑"/>
          <w:sz w:val="21"/>
        </w:rPr>
        <w:t>转为</w:t>
      </w:r>
      <w:r>
        <w:rPr>
          <w:rFonts w:ascii="微软雅黑" w:hAnsi="微软雅黑" w:eastAsia="微软雅黑"/>
          <w:b/>
          <w:sz w:val="21"/>
        </w:rPr>
        <w:t>规则驱动的自动化流水线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before="80" w:after="80"/>
        <w:jc w:val="center"/>
      </w:pPr>
      <w:r>
        <w:rPr>
          <w:rFonts w:ascii="微软雅黑" w:hAnsi="微软雅黑" w:eastAsia="微软雅黑"/>
          <w:color w:val="C5CCD8"/>
          <w:sz w:val="16"/>
        </w:rPr>
        <w:t>——————————————————————————————————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A66"/>
          <w:sz w:val="27"/>
        </w:rPr>
        <w:t>二、总体思路</w:t>
      </w:r>
    </w:p>
    <w:p>
      <w:pPr>
        <w:spacing w:after="120" w:line="348" w:lineRule="auto"/>
      </w:pPr>
      <w:r>
        <w:rPr>
          <w:rFonts w:ascii="微软雅黑" w:hAnsi="微软雅黑" w:eastAsia="微软雅黑"/>
          <w:sz w:val="21"/>
        </w:rPr>
        <w:t xml:space="preserve">构建 </w:t>
      </w:r>
      <w:r>
        <w:rPr>
          <w:rFonts w:ascii="Consolas" w:hAnsi="Consolas" w:eastAsia="Consolas"/>
          <w:color w:val="C0392B"/>
          <w:sz w:val="20"/>
        </w:rPr>
        <w:t>规则配置 → 数据适配 → 批量核算 → 双向校验 → 标准报表</w:t>
      </w:r>
      <w:r>
        <w:rPr>
          <w:rFonts w:ascii="微软雅黑" w:hAnsi="微软雅黑" w:eastAsia="微软雅黑"/>
          <w:sz w:val="21"/>
        </w:rPr>
        <w:t xml:space="preserve"> 的闭环，把专业判断沉淀为可复用配置，把重复计算交给程序：</w:t>
      </w:r>
    </w:p>
    <w:p>
      <w:pPr>
        <w:spacing w:before="80" w:after="160"/>
        <w:ind w:left="283"/>
      </w:pPr>
      <w:r>
        <w:rPr>
          <w:rFonts w:ascii="Consolas" w:hAnsi="Consolas" w:eastAsia="Consolas"/>
          <w:color w:val="333D4D"/>
          <w:sz w:val="18"/>
        </w:rPr>
        <w:t>多格式工资表</w:t>
        <w:br/>
      </w:r>
      <w:r>
        <w:rPr>
          <w:rFonts w:ascii="Consolas" w:hAnsi="Consolas" w:eastAsia="Consolas"/>
          <w:color w:val="333D4D"/>
          <w:sz w:val="18"/>
        </w:rPr>
        <w:t xml:space="preserve">      │</w:t>
        <w:br/>
      </w:r>
      <w:r>
        <w:rPr>
          <w:rFonts w:ascii="Consolas" w:hAnsi="Consolas" w:eastAsia="Consolas"/>
          <w:color w:val="333D4D"/>
          <w:sz w:val="18"/>
        </w:rPr>
        <w:t xml:space="preserve">      ▼</w:t>
        <w:br/>
      </w:r>
      <w:r>
        <w:rPr>
          <w:rFonts w:ascii="Consolas" w:hAnsi="Consolas" w:eastAsia="Consolas"/>
          <w:color w:val="333D4D"/>
          <w:sz w:val="18"/>
        </w:rPr>
        <w:t>① 多模板适配   表头自动探测 · 列名智能映射 · 表形态自动识别</w:t>
        <w:br/>
      </w:r>
      <w:r>
        <w:rPr>
          <w:rFonts w:ascii="Consolas" w:hAnsi="Consolas" w:eastAsia="Consolas"/>
          <w:color w:val="333D4D"/>
          <w:sz w:val="18"/>
        </w:rPr>
        <w:t xml:space="preserve">      │</w:t>
        <w:br/>
      </w:r>
      <w:r>
        <w:rPr>
          <w:rFonts w:ascii="Consolas" w:hAnsi="Consolas" w:eastAsia="Consolas"/>
          <w:color w:val="333D4D"/>
          <w:sz w:val="18"/>
        </w:rPr>
        <w:t xml:space="preserve">      ▼</w:t>
        <w:br/>
      </w:r>
      <w:r>
        <w:rPr>
          <w:rFonts w:ascii="Consolas" w:hAnsi="Consolas" w:eastAsia="Consolas"/>
          <w:color w:val="333D4D"/>
          <w:sz w:val="18"/>
        </w:rPr>
        <w:t>② 薪酬计算内核  累计预扣预缴法 · 年度汇算清缴 · 年终奖择优</w:t>
        <w:br/>
      </w:r>
      <w:r>
        <w:rPr>
          <w:rFonts w:ascii="Consolas" w:hAnsi="Consolas" w:eastAsia="Consolas"/>
          <w:color w:val="333D4D"/>
          <w:sz w:val="18"/>
        </w:rPr>
        <w:t xml:space="preserve">      │</w:t>
        <w:br/>
      </w:r>
      <w:r>
        <w:rPr>
          <w:rFonts w:ascii="Consolas" w:hAnsi="Consolas" w:eastAsia="Consolas"/>
          <w:color w:val="333D4D"/>
          <w:sz w:val="18"/>
        </w:rPr>
        <w:t xml:space="preserve">      ▼</w:t>
        <w:br/>
      </w:r>
      <w:r>
        <w:rPr>
          <w:rFonts w:ascii="Consolas" w:hAnsi="Consolas" w:eastAsia="Consolas"/>
          <w:color w:val="333D4D"/>
          <w:sz w:val="18"/>
        </w:rPr>
        <w:t>③ 闪电校验     内部勾稽校验（12 类规则） + 与客户结果双向比对</w:t>
        <w:br/>
      </w:r>
      <w:r>
        <w:rPr>
          <w:rFonts w:ascii="Consolas" w:hAnsi="Consolas" w:eastAsia="Consolas"/>
          <w:color w:val="333D4D"/>
          <w:sz w:val="18"/>
        </w:rPr>
        <w:t xml:space="preserve">      │</w:t>
        <w:br/>
      </w:r>
      <w:r>
        <w:rPr>
          <w:rFonts w:ascii="Consolas" w:hAnsi="Consolas" w:eastAsia="Consolas"/>
          <w:color w:val="333D4D"/>
          <w:sz w:val="18"/>
        </w:rPr>
        <w:t xml:space="preserve">      ▼</w:t>
        <w:br/>
      </w:r>
      <w:r>
        <w:rPr>
          <w:rFonts w:ascii="Consolas" w:hAnsi="Consolas" w:eastAsia="Consolas"/>
          <w:color w:val="333D4D"/>
          <w:sz w:val="18"/>
        </w:rPr>
        <w:t>④ 标准化报表   7 个固定 Sheet，口径统一，可直接交付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核心设计取舍</w:t>
      </w:r>
      <w:r>
        <w:rPr>
          <w:rFonts w:ascii="微软雅黑" w:hAnsi="微软雅黑" w:eastAsia="微软雅黑"/>
          <w:sz w:val="21"/>
        </w:rPr>
        <w:t>：把「口径」与「代码」彻底分离——所有政策参数、字段别名、校验阈值全部落在外部配置文件里。业务人员调整规则不需要改一行程序，这正是"薪酬自主落地能力"的技术实现方式。</w:t>
      </w:r>
    </w:p>
    <w:p>
      <w:pPr>
        <w:spacing w:before="80" w:after="80"/>
        <w:jc w:val="center"/>
      </w:pPr>
      <w:r>
        <w:rPr>
          <w:rFonts w:ascii="微软雅黑" w:hAnsi="微软雅黑" w:eastAsia="微软雅黑"/>
          <w:color w:val="C5CCD8"/>
          <w:sz w:val="16"/>
        </w:rPr>
        <w:t>——————————————————————————————————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A66"/>
          <w:sz w:val="27"/>
        </w:rPr>
        <w:t>三、三大核心模块（已实现）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3"/>
        </w:rPr>
        <w:t>模块一：多模板 Excel 标准化转换</w:t>
      </w:r>
    </w:p>
    <w:p>
      <w:pPr>
        <w:spacing w:after="120" w:line="348" w:lineRule="auto"/>
      </w:pPr>
      <w:r>
        <w:rPr>
          <w:rFonts w:ascii="微软雅黑" w:hAnsi="微软雅黑" w:eastAsia="微软雅黑"/>
          <w:sz w:val="21"/>
        </w:rPr>
        <w:t>解决"18 家主体报表模板不统一"的问题。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9"/>
              </w:rPr>
              <w:t>能力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多格式接入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 xml:space="preserve">支持 </w:t>
            </w:r>
            <w:r>
              <w:rPr>
                <w:rFonts w:ascii="Consolas" w:hAnsi="Consolas" w:eastAsia="Consolas"/>
                <w:color w:val="C0392B"/>
                <w:sz w:val="18"/>
              </w:rPr>
              <w:t>.xlsx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C0392B"/>
                <w:sz w:val="18"/>
              </w:rPr>
              <w:t>.xlsm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C0392B"/>
                <w:sz w:val="18"/>
              </w:rPr>
              <w:t>.xls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C0392B"/>
                <w:sz w:val="18"/>
              </w:rPr>
              <w:t>.csv</w:t>
            </w:r>
            <w:r>
              <w:rPr>
                <w:rFonts w:ascii="微软雅黑" w:hAnsi="微软雅黑" w:eastAsia="微软雅黑"/>
                <w:sz w:val="19"/>
              </w:rPr>
              <w:t>，CSV 自动识别 UTF-8 / GBK 编码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多表定位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一个工作簿含多个 Sheet 时，自动挑选最像工资表的那张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表头探测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自动跳过企业抬头、说明行、单位行，定位真实表头行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表形态识别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自动区分</w:t>
            </w:r>
            <w:r>
              <w:rPr>
                <w:rFonts w:ascii="微软雅黑" w:hAnsi="微软雅黑" w:eastAsia="微软雅黑"/>
                <w:b/>
                <w:sz w:val="19"/>
              </w:rPr>
              <w:t>长表</w:t>
            </w:r>
            <w:r>
              <w:rPr>
                <w:rFonts w:ascii="微软雅黑" w:hAnsi="微软雅黑" w:eastAsia="微软雅黑"/>
                <w:sz w:val="19"/>
              </w:rPr>
              <w:t>（一行=员工×月）、</w:t>
            </w:r>
            <w:r>
              <w:rPr>
                <w:rFonts w:ascii="微软雅黑" w:hAnsi="微软雅黑" w:eastAsia="微软雅黑"/>
                <w:b/>
                <w:sz w:val="19"/>
              </w:rPr>
              <w:t>宽表</w:t>
            </w:r>
            <w:r>
              <w:rPr>
                <w:rFonts w:ascii="微软雅黑" w:hAnsi="微软雅黑" w:eastAsia="微软雅黑"/>
                <w:sz w:val="19"/>
              </w:rPr>
              <w:t>（一行=员工，月份横向铺开）、</w:t>
            </w:r>
            <w:r>
              <w:rPr>
                <w:rFonts w:ascii="微软雅黑" w:hAnsi="微软雅黑" w:eastAsia="微软雅黑"/>
                <w:b/>
                <w:sz w:val="19"/>
              </w:rPr>
              <w:t>单月表</w:t>
            </w:r>
            <w:r>
              <w:rPr>
                <w:rFonts w:ascii="微软雅黑" w:hAnsi="微软雅黑" w:eastAsia="微软雅黑"/>
                <w:sz w:val="19"/>
              </w:rPr>
              <w:t>；宽表自动展开为逐月记录，并跳过未入职/已离职的空月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列名智能映射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内置 48 个标准字段、420 条别名。</w:t>
            </w:r>
            <w:r>
              <w:rPr>
                <w:rFonts w:ascii="Consolas" w:hAnsi="Consolas" w:eastAsia="Consolas"/>
                <w:color w:val="C0392B"/>
                <w:sz w:val="18"/>
              </w:rPr>
              <w:t>工号/员工编号/职工号/empno</w:t>
            </w:r>
            <w:r>
              <w:rPr>
                <w:rFonts w:ascii="微软雅黑" w:hAnsi="微软雅黑" w:eastAsia="微软雅黑"/>
                <w:sz w:val="19"/>
              </w:rPr>
              <w:t>、</w:t>
            </w:r>
            <w:r>
              <w:rPr>
                <w:rFonts w:ascii="Consolas" w:hAnsi="Consolas" w:eastAsia="Consolas"/>
                <w:color w:val="C0392B"/>
                <w:sz w:val="18"/>
              </w:rPr>
              <w:t>应发合计/应发工资/税前工资</w:t>
            </w:r>
            <w:r>
              <w:rPr>
                <w:rFonts w:ascii="微软雅黑" w:hAnsi="微软雅黑" w:eastAsia="微软雅黑"/>
                <w:sz w:val="19"/>
              </w:rPr>
              <w:t>、</w:t>
            </w:r>
            <w:r>
              <w:rPr>
                <w:rFonts w:ascii="Consolas" w:hAnsi="Consolas" w:eastAsia="Consolas"/>
                <w:color w:val="C0392B"/>
                <w:sz w:val="18"/>
              </w:rPr>
              <w:t>社保基数/社保缴费基数/社保参保地</w:t>
            </w:r>
            <w:r>
              <w:rPr>
                <w:rFonts w:ascii="微软雅黑" w:hAnsi="微软雅黑" w:eastAsia="微软雅黑"/>
                <w:sz w:val="19"/>
              </w:rPr>
              <w:t xml:space="preserve"> 等写法均可自动归一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人工兜底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识别结果全量可视，未命中项可在界面手工指定，或补充别名后永久生效</w:t>
            </w:r>
          </w:p>
        </w:tc>
      </w:tr>
    </w:tbl>
    <w:p/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实测结论</w:t>
      </w:r>
      <w:r>
        <w:rPr>
          <w:rFonts w:ascii="微软雅黑" w:hAnsi="微软雅黑" w:eastAsia="微软雅黑"/>
          <w:sz w:val="21"/>
        </w:rPr>
        <w:t>：构造 3 家主体、3 套完全不同表头方言的工资表（上海长表用</w:t>
      </w:r>
      <w:r>
        <w:rPr>
          <w:rFonts w:ascii="Consolas" w:hAnsi="Consolas" w:eastAsia="Consolas"/>
          <w:color w:val="C0392B"/>
          <w:sz w:val="20"/>
        </w:rPr>
        <w:t>工号/应发合计/社保缴费基数</w:t>
      </w:r>
      <w:r>
        <w:rPr>
          <w:rFonts w:ascii="微软雅黑" w:hAnsi="微软雅黑" w:eastAsia="微软雅黑"/>
          <w:sz w:val="21"/>
        </w:rPr>
        <w:t>、北京宽表用</w:t>
      </w:r>
      <w:r>
        <w:rPr>
          <w:rFonts w:ascii="Consolas" w:hAnsi="Consolas" w:eastAsia="Consolas"/>
          <w:color w:val="C0392B"/>
          <w:sz w:val="20"/>
        </w:rPr>
        <w:t>员工编号/1月应发工资</w:t>
      </w:r>
      <w:r>
        <w:rPr>
          <w:rFonts w:ascii="微软雅黑" w:hAnsi="微软雅黑" w:eastAsia="微软雅黑"/>
          <w:sz w:val="21"/>
        </w:rPr>
        <w:t>、广州单月表用</w:t>
      </w:r>
      <w:r>
        <w:rPr>
          <w:rFonts w:ascii="Consolas" w:hAnsi="Consolas" w:eastAsia="Consolas"/>
          <w:color w:val="C0392B"/>
          <w:sz w:val="20"/>
        </w:rPr>
        <w:t>职工号/应发工资/参保地</w:t>
      </w:r>
      <w:r>
        <w:rPr>
          <w:rFonts w:ascii="微软雅黑" w:hAnsi="微软雅黑" w:eastAsia="微软雅黑"/>
          <w:sz w:val="21"/>
        </w:rPr>
        <w:t>），系统零改代码全部正确解析，城市各自正确识别，字段映射无遗漏。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3"/>
        </w:rPr>
        <w:t>模块二：本地算薪平台</w:t>
      </w:r>
    </w:p>
    <w:p>
      <w:pPr>
        <w:spacing w:after="120" w:line="348" w:lineRule="auto"/>
      </w:pPr>
      <w:r>
        <w:rPr>
          <w:rFonts w:ascii="微软雅黑" w:hAnsi="微软雅黑" w:eastAsia="微软雅黑"/>
          <w:sz w:val="21"/>
        </w:rPr>
        <w:t>解决"计税口径不统一、人工核算耗时"的问题。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9"/>
              </w:rPr>
              <w:t>能力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累计预扣预缴法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按月度累计计算应纳税所得额、自动跳档、逐月应预扣税额，与税法口径完全一致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年度汇算清缴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全年清算，输出汇算应纳税额与应退/应补税额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年终奖择优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全年一次性奖金「单独计税」与「并入综合所得」两方案全量试算，自动取税负更优者，并保留对比数据供复核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城市政策库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内置 8 城（上海、北京、广州、深圳、杭州、南京、合肥、芜湖）× 4 个年度（2023—2026），含社保公积金基数上下限、缴纳比例、住房租金扣除档位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半年度基数调整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正确处理社保基数每年 7 月随社平工资调整的区间切换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基数自动封顶保底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申报基数超限自动 clamp，并进入异常清单提示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在职区间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支持年中入职、年中离职，累计减除费用按实际申报月数计算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跨期接续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可导入截至上期的累计收入、五险一金、扣除、已预扣税额，用于中途接手的历史系统迁移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集团批量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一条命令跑完一个目录下多家主体的全部工资表，逐主体独立出表，汇总统一呈现</w:t>
            </w:r>
          </w:p>
        </w:tc>
      </w:tr>
    </w:tbl>
    <w:p/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实测结论</w:t>
      </w:r>
      <w:r>
        <w:rPr>
          <w:rFonts w:ascii="微软雅黑" w:hAnsi="微软雅黑" w:eastAsia="微软雅黑"/>
          <w:sz w:val="21"/>
        </w:rPr>
        <w:t>：以月薪 20500 元、上海 2026 年政策的员工为例，1 月应预扣个税 252.38 元、年度累计应纳税所得额 100950 元、全年月度预扣合计 7575 元——与逐月手工推算完全吻合。年终奖 60000 元场景下，单独计税全年税负 13365 元，并入综合所得 15270 元，系统自动择优为单独计税，为员工节省税负 1905 元。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3"/>
        </w:rPr>
        <w:t>模块三：税金双向校验（闪电校验）</w:t>
      </w:r>
    </w:p>
    <w:p>
      <w:pPr>
        <w:spacing w:after="120" w:line="348" w:lineRule="auto"/>
      </w:pPr>
      <w:r>
        <w:rPr>
          <w:rFonts w:ascii="微软雅黑" w:hAnsi="微软雅黑" w:eastAsia="微软雅黑"/>
          <w:sz w:val="21"/>
        </w:rPr>
        <w:t>解决"人工逐行核对出错率高、流程繁琐"的问题。这是本项目区别于普通计算器的关键能力。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第一向：内部勾稽校验</w:t>
      </w:r>
      <w:r>
        <w:rPr>
          <w:rFonts w:ascii="微软雅黑" w:hAnsi="微软雅黑" w:eastAsia="微软雅黑"/>
          <w:sz w:val="21"/>
        </w:rPr>
        <w:t>（校验工资表自身是否自洽、是否合规）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9"/>
              </w:rPr>
              <w:t>规则码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9"/>
              </w:rPr>
              <w:t>校验内容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V001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收入明细加总 ≠ 应发工资合计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V002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实发工资勾稽不平（应发+奖金−五险一金−个税 ≠ 实发）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V004 / V005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社保 / 公积金申报基数超出政策上下限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V006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公积金缴存比例越界，或实缴比例与配置不符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V007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专项附加扣除为负，或合计超过常规上限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V008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月度应发或个税环比剧烈波动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V009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月份重复、缺失不连续、全年数据不完整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V010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姓名 / 证件号缺失或长度异常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V011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员工编号重复导入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V012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金额出现负值</w:t>
            </w:r>
          </w:p>
        </w:tc>
      </w:tr>
    </w:tbl>
    <w:p/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第二向：与客户既有结果比对</w:t>
      </w:r>
    </w:p>
    <w:p>
      <w:pPr>
        <w:spacing w:after="120" w:line="348" w:lineRule="auto"/>
      </w:pPr>
      <w:r>
        <w:rPr>
          <w:rFonts w:ascii="微软雅黑" w:hAnsi="微软雅黑" w:eastAsia="微软雅黑"/>
          <w:sz w:val="21"/>
        </w:rPr>
        <w:t>逐人、逐月、逐项比对个税、实发工资、五险一金三大项，差异按金额分级：</w:t>
      </w:r>
      <w:r>
        <w:rPr>
          <w:rFonts w:ascii="微软雅黑" w:hAnsi="微软雅黑" w:eastAsia="微软雅黑"/>
          <w:b/>
          <w:sz w:val="21"/>
        </w:rPr>
        <w:t>≥100 元判为错误，小额尾差判为警告</w:t>
      </w:r>
      <w:r>
        <w:rPr>
          <w:rFonts w:ascii="微软雅黑" w:hAnsi="微软雅黑" w:eastAsia="微软雅黑"/>
          <w:sz w:val="21"/>
        </w:rPr>
        <w:t>，避免无效告警淹没真问题。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实测结论</w:t>
      </w:r>
      <w:r>
        <w:rPr>
          <w:rFonts w:ascii="微软雅黑" w:hAnsi="微软雅黑" w:eastAsia="微软雅黑"/>
          <w:sz w:val="21"/>
        </w:rPr>
        <w:t>：在样例数据中刻意植入客户侧最常见的错误算法——</w:t>
      </w:r>
      <w:r>
        <w:rPr>
          <w:rFonts w:ascii="微软雅黑" w:hAnsi="微软雅黑" w:eastAsia="微软雅黑"/>
          <w:b/>
          <w:sz w:val="21"/>
        </w:rPr>
        <w:t>误用「按月单独计税」而非累计预扣法</w:t>
      </w:r>
      <w:r>
        <w:rPr>
          <w:rFonts w:ascii="微软雅黑" w:hAnsi="微软雅黑" w:eastAsia="微软雅黑"/>
          <w:sz w:val="21"/>
        </w:rPr>
        <w:t>，系统准确抓出 60 处不一致，并定位到具体员工、具体月份、具体金额（如张伟 1 月个税：引擎重算 252.38 元 vs 客户提供 631.25 元，差异 −378.87 元）。这类差异若靠人工核对，一张 54 行的表就需要反复推演才能定位。</w:t>
      </w:r>
    </w:p>
    <w:p>
      <w:pPr>
        <w:spacing w:before="80" w:after="80"/>
        <w:jc w:val="center"/>
      </w:pPr>
      <w:r>
        <w:rPr>
          <w:rFonts w:ascii="微软雅黑" w:hAnsi="微软雅黑" w:eastAsia="微软雅黑"/>
          <w:color w:val="C5CCD8"/>
          <w:sz w:val="16"/>
        </w:rPr>
        <w:t>——————————————————————————————————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A66"/>
          <w:sz w:val="27"/>
        </w:rPr>
        <w:t>四、风险管控与合规保障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9"/>
              </w:rPr>
              <w:t>措施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9"/>
              </w:rPr>
              <w:t>实现方式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数据物理隔离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全部计算在本机完成，工资数据不上传任何外部服务器，无外部 API 依赖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内网闭环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政策参数、计算规则、校验逻辑均本地运行，断网可用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口径可追溯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每份报表内置「政策参数与说明」页，列明本次使用的税率表、基数区间、扣除标准、政策有效期与声明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暂行口径标注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官方尚未公布的年度/半年度口径明确标记为「暂行」，沿用最近已公布标准，避免误用冒充权威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敏感数据最小化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报表仅输出核算必需字段；证件号按需脱敏，不参与计算逻辑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结果可复核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所有中间量（累计应纳税所得额、适用税率、累计已预扣税额）全部落表，审计链路完整</w:t>
            </w:r>
          </w:p>
        </w:tc>
      </w:tr>
    </w:tbl>
    <w:p/>
    <w:p>
      <w:pPr>
        <w:spacing w:before="80" w:after="80"/>
        <w:jc w:val="center"/>
      </w:pPr>
      <w:r>
        <w:rPr>
          <w:rFonts w:ascii="微软雅黑" w:hAnsi="微软雅黑" w:eastAsia="微软雅黑"/>
          <w:color w:val="C5CCD8"/>
          <w:sz w:val="16"/>
        </w:rPr>
        <w:t>——————————————————————————————————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A66"/>
          <w:sz w:val="27"/>
        </w:rPr>
        <w:t>五、应用场景</w:t>
      </w:r>
    </w:p>
    <w:p>
      <w:pPr>
        <w:spacing w:after="120" w:line="348" w:lineRule="auto"/>
      </w:pPr>
      <w:r>
        <w:rPr>
          <w:rFonts w:ascii="微软雅黑" w:hAnsi="微软雅黑" w:eastAsia="微软雅黑"/>
          <w:sz w:val="21"/>
        </w:rPr>
        <w:t>本项目已实现为通用能力，</w:t>
      </w:r>
      <w:r>
        <w:rPr>
          <w:rFonts w:ascii="微软雅黑" w:hAnsi="微软雅黑" w:eastAsia="微软雅黑"/>
          <w:b/>
          <w:sz w:val="21"/>
        </w:rPr>
        <w:t>可复用至各类客户的薪酬个税交付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适配多格式工资表，输出标准化格式的算薪报表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月度批量薪资个税核算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年度批量薪资个税核算与汇算清缴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集团多主体并行核算与结果汇总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客户既有算薪结果的质量校验与差异追溯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政策调整后的历史数据批量重算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新增主体或新增年度无需修改程序</w:t>
      </w:r>
      <w:r>
        <w:rPr>
          <w:rFonts w:ascii="微软雅黑" w:hAnsi="微软雅黑" w:eastAsia="微软雅黑"/>
          <w:sz w:val="21"/>
        </w:rPr>
        <w:t>：在政策配置文件中复制一个节点、修改参数即可生效。</w:t>
      </w:r>
    </w:p>
    <w:p>
      <w:pPr>
        <w:spacing w:before="80" w:after="80"/>
        <w:jc w:val="center"/>
      </w:pPr>
      <w:r>
        <w:rPr>
          <w:rFonts w:ascii="微软雅黑" w:hAnsi="微软雅黑" w:eastAsia="微软雅黑"/>
          <w:color w:val="C5CCD8"/>
          <w:sz w:val="16"/>
        </w:rPr>
        <w:t>——————————————————————————————————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A66"/>
          <w:sz w:val="27"/>
        </w:rPr>
        <w:t>六、预期成效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3"/>
        </w:rPr>
        <w:t>效率提升</w:t>
      </w:r>
    </w:p>
    <w:p>
      <w:pPr>
        <w:spacing w:after="120" w:line="348" w:lineRule="auto"/>
      </w:pPr>
      <w:r>
        <w:rPr>
          <w:rFonts w:ascii="微软雅黑" w:hAnsi="微软雅黑" w:eastAsia="微软雅黑"/>
          <w:sz w:val="21"/>
        </w:rPr>
        <w:t>以 18 家主体、全员全年度核算为基准：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9"/>
              </w:rPr>
              <w:t>环节</w:t>
            </w:r>
          </w:p>
        </w:tc>
        <w:tc>
          <w:tcPr>
            <w:tcW w:type="dxa" w:w="309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9"/>
              </w:rPr>
              <w:t>人工模式</w:t>
            </w:r>
          </w:p>
        </w:tc>
        <w:tc>
          <w:tcPr>
            <w:tcW w:type="dxa" w:w="309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9"/>
              </w:rPr>
              <w:t>自动化模式</w:t>
            </w:r>
          </w:p>
        </w:tc>
      </w:tr>
      <w:tr>
        <w:tc>
          <w:tcPr>
            <w:tcW w:type="dxa" w:w="309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模板梳理与字段对齐</w:t>
            </w:r>
          </w:p>
        </w:tc>
        <w:tc>
          <w:tcPr>
            <w:tcW w:type="dxa" w:w="309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每家主体单独梳理，重复劳动</w:t>
            </w:r>
          </w:p>
        </w:tc>
        <w:tc>
          <w:tcPr>
            <w:tcW w:type="dxa" w:w="309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自动识别，一次配置长期复用</w:t>
            </w:r>
          </w:p>
        </w:tc>
      </w:tr>
      <w:tr>
        <w:tc>
          <w:tcPr>
            <w:tcW w:type="dxa" w:w="309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薪税计算</w:t>
            </w:r>
          </w:p>
        </w:tc>
        <w:tc>
          <w:tcPr>
            <w:tcW w:type="dxa" w:w="309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逐人逐月手工计算，数天工作量</w:t>
            </w:r>
          </w:p>
        </w:tc>
        <w:tc>
          <w:tcPr>
            <w:tcW w:type="dxa" w:w="309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程序批量计算，十余分钟完成</w:t>
            </w:r>
          </w:p>
        </w:tc>
      </w:tr>
      <w:tr>
        <w:tc>
          <w:tcPr>
            <w:tcW w:type="dxa" w:w="309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数据核对</w:t>
            </w:r>
          </w:p>
        </w:tc>
        <w:tc>
          <w:tcPr>
            <w:tcW w:type="dxa" w:w="309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逐行比对，易漏易错</w:t>
            </w:r>
          </w:p>
        </w:tc>
        <w:tc>
          <w:tcPr>
            <w:tcW w:type="dxa" w:w="309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双向校验自动比对并定位差异</w:t>
            </w:r>
          </w:p>
        </w:tc>
      </w:tr>
    </w:tbl>
    <w:p/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实测性能基线</w:t>
      </w:r>
      <w:r>
        <w:rPr>
          <w:rFonts w:ascii="微软雅黑" w:hAnsi="微软雅黑" w:eastAsia="微软雅黑"/>
          <w:sz w:val="21"/>
        </w:rPr>
        <w:t xml:space="preserve">：以 9,000 名员工、覆盖 8 个参保城市、全年 12 个月的 </w:t>
      </w:r>
      <w:r>
        <w:rPr>
          <w:rFonts w:ascii="微软雅黑" w:hAnsi="微软雅黑" w:eastAsia="微软雅黑"/>
          <w:b/>
          <w:sz w:val="21"/>
        </w:rPr>
        <w:t>108,000 条</w:t>
      </w:r>
      <w:r>
        <w:rPr>
          <w:rFonts w:ascii="微软雅黑" w:hAnsi="微软雅黑" w:eastAsia="微软雅黑"/>
          <w:sz w:val="21"/>
        </w:rPr>
        <w:t>记录为压测样本：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9"/>
              </w:rPr>
              <w:t>环节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9"/>
              </w:rPr>
              <w:t>耗时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批量薪税计算（含累计预扣、年度汇算、五险一金封顶保底）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14.99 秒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闪电校验（12 类勾稽规则 + 差异比对）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2.25 秒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9"/>
              </w:rPr>
              <w:t>合计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9"/>
              </w:rPr>
              <w:t>17.24 秒</w:t>
            </w:r>
          </w:p>
        </w:tc>
      </w:tr>
    </w:tbl>
    <w:p/>
    <w:p>
      <w:pPr>
        <w:spacing w:after="120" w:line="348" w:lineRule="auto"/>
      </w:pPr>
      <w:r>
        <w:rPr>
          <w:rFonts w:ascii="微软雅黑" w:hAnsi="微软雅黑" w:eastAsia="微软雅黑"/>
          <w:sz w:val="21"/>
        </w:rPr>
        <w:t>同等数据量下人工逐人逐月核算需数天工作量。核算周期由"数天"压缩至"十余分钟"量级，模板开发与规则调整不再需要研发排期。数据规模扩大时耗时近似线性增长，无性能瓶颈。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3"/>
        </w:rPr>
        <w:t>成本降低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无需人工编码开发，减少研发资源重复消耗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脚本与配置一次沉淀、多年复用，避免反复开发的资源浪费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业务人员经简单培训即可自主维护规则，降低对研发资源的依赖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3"/>
        </w:rPr>
        <w:t>质量提升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全流程自动校验替代人工核对，从机制上消除计算偏差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差异精准标记到人、到月、到项，复核工作量大幅下降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合规化运算保障薪税服务精准规范，降低交付延期与差错风险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3"/>
        </w:rPr>
        <w:t>能力沉淀</w:t>
      </w:r>
    </w:p>
    <w:p>
      <w:pPr>
        <w:spacing w:after="120" w:line="348" w:lineRule="auto"/>
      </w:pPr>
      <w:r>
        <w:rPr>
          <w:rFonts w:ascii="微软雅黑" w:hAnsi="微软雅黑" w:eastAsia="微软雅黑"/>
          <w:sz w:val="21"/>
        </w:rPr>
        <w:t>降低薪酬业务数字化门槛，提升薪酬业务自主运维能力。工具可重复使用、适配多行业客户薪酬交付与个税核对业务，实现</w:t>
      </w:r>
      <w:r>
        <w:rPr>
          <w:rFonts w:ascii="微软雅黑" w:hAnsi="微软雅黑" w:eastAsia="微软雅黑"/>
          <w:b/>
          <w:sz w:val="21"/>
        </w:rPr>
        <w:t>服务效益与营收效益双向增长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before="80" w:after="80"/>
        <w:jc w:val="center"/>
      </w:pPr>
      <w:r>
        <w:rPr>
          <w:rFonts w:ascii="微软雅黑" w:hAnsi="微软雅黑" w:eastAsia="微软雅黑"/>
          <w:color w:val="C5CCD8"/>
          <w:sz w:val="16"/>
        </w:rPr>
        <w:t>——————————————————————————————————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A66"/>
          <w:sz w:val="27"/>
        </w:rPr>
        <w:t>七、成果清单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9"/>
              </w:rPr>
              <w:t>交付物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标准化转换适配层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多格式 / 多表头 / 多表形态工资表统一接入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薪税计算内核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累计预扣、年度汇算、年终奖择优、集团批量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闪电校验引擎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12 类内部勾稽规则 + 客户结果双向比对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城市政策库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8 城 × 4 年度，配置文件化，零改代码扩展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标准化算薪报表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7 个固定 Sheet：算薪明细 / 月度汇总 / 年度汇总 / 社保公积金明细 / 异常校验清单 / 差异比对 / 政策参数与说明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操作入口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命令行工具（单人、单表、集团批量三种模式）+ Web 工作台界面</w:t>
            </w:r>
          </w:p>
        </w:tc>
      </w:tr>
      <w:tr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验证用例</w:t>
            </w:r>
          </w:p>
        </w:tc>
        <w:tc>
          <w:tcPr>
            <w:tcW w:type="dxa" w:w="464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39 项手算断言测试，全部通过</w:t>
            </w:r>
          </w:p>
        </w:tc>
      </w:tr>
    </w:tbl>
    <w:p/>
    <w:p>
      <w:pPr>
        <w:spacing w:before="80" w:after="80"/>
        <w:jc w:val="center"/>
      </w:pPr>
      <w:r>
        <w:rPr>
          <w:rFonts w:ascii="微软雅黑" w:hAnsi="微软雅黑" w:eastAsia="微软雅黑"/>
          <w:color w:val="C5CCD8"/>
          <w:sz w:val="16"/>
        </w:rPr>
        <w:t>——————————————————————————————————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A66"/>
          <w:sz w:val="27"/>
        </w:rPr>
        <w:t>八、技术来源与知识产权说明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 xml:space="preserve">项目在 GitHub 开源项目 </w:t>
      </w:r>
      <w:r>
        <w:rPr>
          <w:rFonts w:ascii="Consolas" w:hAnsi="Consolas" w:eastAsia="Consolas"/>
          <w:color w:val="C0392B"/>
          <w:sz w:val="20"/>
        </w:rPr>
        <w:t>ikiwihome/income-calc</w:t>
      </w:r>
      <w:r>
        <w:rPr>
          <w:rFonts w:ascii="微软雅黑" w:hAnsi="微软雅黑" w:eastAsia="微软雅黑"/>
          <w:sz w:val="21"/>
        </w:rPr>
        <w:t>（MIT License）基础上二次开发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复用其累计预扣预缴法计算引擎与城市社保公积金政策数据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二次开发部分（多格式适配层、批量计算内核、闪电校验引擎、标准化报表体系、集团批量能力、操作界面）为本次竞赛期间自主建设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项目遵循 MIT 许可协议，可自由用于商业交付</w:t>
      </w:r>
    </w:p>
    <w:p>
      <w:pPr>
        <w:spacing w:before="80" w:after="80"/>
        <w:jc w:val="center"/>
      </w:pPr>
      <w:r>
        <w:rPr>
          <w:rFonts w:ascii="微软雅黑" w:hAnsi="微软雅黑" w:eastAsia="微软雅黑"/>
          <w:color w:val="C5CCD8"/>
          <w:sz w:val="16"/>
        </w:rPr>
        <w:t>——————————————————————————————————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A66"/>
          <w:sz w:val="27"/>
        </w:rPr>
        <w:t>附：可复现验证方式</w:t>
      </w:r>
    </w:p>
    <w:p>
      <w:pPr>
        <w:spacing w:before="80" w:after="160"/>
        <w:ind w:left="283"/>
      </w:pPr>
      <w:r>
        <w:rPr>
          <w:rFonts w:ascii="Consolas" w:hAnsi="Consolas" w:eastAsia="Consolas"/>
          <w:color w:val="333D4D"/>
          <w:sz w:val="18"/>
        </w:rPr>
        <w:t># 1) 多主体差异化模板适配验证</w:t>
        <w:br/>
      </w:r>
      <w:r>
        <w:rPr>
          <w:rFonts w:ascii="Consolas" w:hAnsi="Consolas" w:eastAsia="Consolas"/>
          <w:color w:val="333D4D"/>
          <w:sz w:val="18"/>
        </w:rPr>
        <w:t>python cli.py group samples/multi_entity --year 2026 --month 6 -o outputs/group_batch</w:t>
        <w:br/>
      </w:r>
      <w:r>
        <w:rPr>
          <w:rFonts w:ascii="Consolas" w:hAnsi="Consolas" w:eastAsia="Consolas"/>
          <w:color w:val="333D4D"/>
          <w:sz w:val="18"/>
        </w:rPr>
        <w:br/>
      </w:r>
      <w:r>
        <w:rPr>
          <w:rFonts w:ascii="Consolas" w:hAnsi="Consolas" w:eastAsia="Consolas"/>
          <w:color w:val="333D4D"/>
          <w:sz w:val="18"/>
        </w:rPr>
        <w:t># 2) 核心算法正确性验证（39 项手算断言）</w:t>
        <w:br/>
      </w:r>
      <w:r>
        <w:rPr>
          <w:rFonts w:ascii="Consolas" w:hAnsi="Consolas" w:eastAsia="Consolas"/>
          <w:color w:val="333D4D"/>
          <w:sz w:val="18"/>
        </w:rPr>
        <w:t>python tests/test_core.py</w:t>
        <w:br/>
      </w:r>
      <w:r>
        <w:rPr>
          <w:rFonts w:ascii="Consolas" w:hAnsi="Consolas" w:eastAsia="Consolas"/>
          <w:color w:val="333D4D"/>
          <w:sz w:val="18"/>
        </w:rPr>
        <w:br/>
      </w:r>
      <w:r>
        <w:rPr>
          <w:rFonts w:ascii="Consolas" w:hAnsi="Consolas" w:eastAsia="Consolas"/>
          <w:color w:val="333D4D"/>
          <w:sz w:val="18"/>
        </w:rPr>
        <w:t># 3) 闪电校验差异识别验证</w:t>
        <w:br/>
      </w:r>
      <w:r>
        <w:rPr>
          <w:rFonts w:ascii="Consolas" w:hAnsi="Consolas" w:eastAsia="Consolas"/>
          <w:color w:val="333D4D"/>
          <w:sz w:val="18"/>
        </w:rPr>
        <w:t>python cli.py run samples/sample_long.xlsx --city 上海 --year 2026 --client 样例客户</w:t>
        <w:br/>
      </w:r>
      <w:r>
        <w:rPr>
          <w:rFonts w:ascii="Consolas" w:hAnsi="Consolas" w:eastAsia="Consolas"/>
          <w:color w:val="333D4D"/>
          <w:sz w:val="18"/>
        </w:rPr>
        <w:br/>
      </w:r>
      <w:r>
        <w:rPr>
          <w:rFonts w:ascii="Consolas" w:hAnsi="Consolas" w:eastAsia="Consolas"/>
          <w:color w:val="333D4D"/>
          <w:sz w:val="18"/>
        </w:rPr>
        <w:t># 4) Web 工作台</w:t>
        <w:br/>
      </w:r>
      <w:r>
        <w:rPr>
          <w:rFonts w:ascii="Consolas" w:hAnsi="Consolas" w:eastAsia="Consolas"/>
          <w:color w:val="333D4D"/>
          <w:sz w:val="18"/>
        </w:rPr>
        <w:t>python cli.py serve --port 8765</w:t>
      </w:r>
    </w:p>
    <w:sectPr w:rsidR="00FC693F" w:rsidRPr="0006063C" w:rsidSect="00034616">
      <w:pgSz w:w="12240" w:h="15840"/>
      <w:pgMar w:top="124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