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2818" w14:textId="77777777" w:rsidR="002965B4" w:rsidRDefault="00000000">
      <w:pPr>
        <w:spacing w:after="60"/>
        <w:jc w:val="center"/>
      </w:pPr>
      <w:r>
        <w:rPr>
          <w:b/>
          <w:bCs/>
          <w:color w:val="2E5090"/>
          <w:sz w:val="36"/>
          <w:szCs w:val="36"/>
        </w:rPr>
        <w:t>Response to Examiner’s Comments</w:t>
      </w:r>
    </w:p>
    <w:p w14:paraId="5072EF78" w14:textId="77777777" w:rsidR="002965B4" w:rsidRDefault="00000000">
      <w:pPr>
        <w:spacing w:after="60"/>
        <w:jc w:val="center"/>
      </w:pPr>
      <w:r>
        <w:rPr>
          <w:i/>
          <w:iCs/>
          <w:color w:val="1A1A1A"/>
          <w:sz w:val="24"/>
          <w:szCs w:val="24"/>
        </w:rPr>
        <w:t>Generative AI in Enterprises: Optimizing Applications with Large Language Models</w:t>
      </w:r>
    </w:p>
    <w:p w14:paraId="6459A4C2" w14:textId="77777777" w:rsidR="002965B4" w:rsidRDefault="00000000">
      <w:pPr>
        <w:spacing w:after="60"/>
        <w:jc w:val="center"/>
      </w:pPr>
      <w:r>
        <w:rPr>
          <w:color w:val="1A1A1A"/>
        </w:rPr>
        <w:t>Donghao Huang</w:t>
      </w:r>
    </w:p>
    <w:p w14:paraId="5E12A255" w14:textId="77777777" w:rsidR="002965B4" w:rsidRDefault="00000000">
      <w:pPr>
        <w:spacing w:after="300"/>
        <w:jc w:val="center"/>
      </w:pPr>
      <w:r>
        <w:rPr>
          <w:color w:val="666666"/>
        </w:rPr>
        <w:t>April 2026</w:t>
      </w:r>
    </w:p>
    <w:p w14:paraId="0BEA7A63" w14:textId="77777777" w:rsidR="002965B4" w:rsidRDefault="00000000">
      <w:pPr>
        <w:spacing w:after="240"/>
      </w:pPr>
      <w:r>
        <w:rPr>
          <w:color w:val="1A1A1A"/>
        </w:rPr>
        <w:t xml:space="preserve">We thank the examiner for the careful reading and the positive assessment of the dissertation. The examiner noted that the thesis </w:t>
      </w:r>
      <w:r>
        <w:rPr>
          <w:i/>
          <w:iCs/>
          <w:color w:val="1A1A1A"/>
        </w:rPr>
        <w:t xml:space="preserve">“meets the expected </w:t>
      </w:r>
      <w:proofErr w:type="spellStart"/>
      <w:r>
        <w:rPr>
          <w:i/>
          <w:iCs/>
          <w:color w:val="1A1A1A"/>
        </w:rPr>
        <w:t>EngD</w:t>
      </w:r>
      <w:proofErr w:type="spellEnd"/>
      <w:r>
        <w:rPr>
          <w:i/>
          <w:iCs/>
          <w:color w:val="1A1A1A"/>
        </w:rPr>
        <w:t xml:space="preserve"> standard”</w:t>
      </w:r>
      <w:r>
        <w:rPr>
          <w:color w:val="1A1A1A"/>
        </w:rPr>
        <w:t xml:space="preserve"> and </w:t>
      </w:r>
      <w:proofErr w:type="spellStart"/>
      <w:r>
        <w:rPr>
          <w:color w:val="1A1A1A"/>
        </w:rPr>
        <w:t>recognised</w:t>
      </w:r>
      <w:proofErr w:type="spellEnd"/>
      <w:r>
        <w:rPr>
          <w:color w:val="1A1A1A"/>
        </w:rPr>
        <w:t xml:space="preserve"> the clear structure, practical contributions, and extensive empirical studies. Below we address each of the four recommended minor changes, describing the specific revisions made to the dissertation.</w:t>
      </w:r>
    </w:p>
    <w:p w14:paraId="3D65E3D5" w14:textId="77777777" w:rsidR="002965B4" w:rsidRDefault="00000000">
      <w:pPr>
        <w:pStyle w:val="Heading1"/>
      </w:pPr>
      <w:r>
        <w:t>1. Highlight Most Focused Work with More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65B4" w14:paraId="3820E3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vAlign w:val="center"/>
          </w:tcPr>
          <w:p w14:paraId="08E2413E" w14:textId="77777777" w:rsidR="002965B4" w:rsidRDefault="00000000">
            <w:r>
              <w:rPr>
                <w:b/>
                <w:bCs/>
                <w:color w:val="2E5090"/>
                <w:sz w:val="21"/>
                <w:szCs w:val="21"/>
              </w:rPr>
              <w:t>Reviewer Comment</w:t>
            </w:r>
          </w:p>
        </w:tc>
        <w:tc>
          <w:tcPr>
            <w:tcW w:w="7160" w:type="dxa"/>
            <w:tcBorders>
              <w:top w:val="single" w:sz="1" w:space="0" w:color="CCCCCC"/>
              <w:left w:val="single" w:sz="1" w:space="0" w:color="CCCCCC"/>
              <w:bottom w:val="single" w:sz="1" w:space="0" w:color="CCCCCC"/>
              <w:right w:val="single" w:sz="1" w:space="0" w:color="CCCCCC"/>
            </w:tcBorders>
          </w:tcPr>
          <w:p w14:paraId="6AED9959" w14:textId="77777777" w:rsidR="002965B4" w:rsidRDefault="00000000">
            <w:r>
              <w:rPr>
                <w:i/>
                <w:iCs/>
                <w:color w:val="1A1A1A"/>
                <w:sz w:val="21"/>
                <w:szCs w:val="21"/>
              </w:rPr>
              <w:t>The thesis covers a list of topics. These include RAG, agentic workflows, edge deployment, reasoning models, translation, sentiment analysis, logical reasoning, and sports analytics. This breadth is impressive. Suggests highlight most focused work with more contents.</w:t>
            </w:r>
          </w:p>
        </w:tc>
      </w:tr>
      <w:tr w:rsidR="002965B4" w14:paraId="7A5EB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EA"/>
            <w:vAlign w:val="center"/>
          </w:tcPr>
          <w:p w14:paraId="60C52647" w14:textId="77777777" w:rsidR="002965B4" w:rsidRDefault="00000000">
            <w:r>
              <w:rPr>
                <w:b/>
                <w:bCs/>
                <w:color w:val="1B5E20"/>
                <w:sz w:val="21"/>
                <w:szCs w:val="21"/>
              </w:rPr>
              <w:t>Response</w:t>
            </w:r>
          </w:p>
        </w:tc>
        <w:tc>
          <w:tcPr>
            <w:tcW w:w="7160" w:type="dxa"/>
            <w:tcBorders>
              <w:top w:val="single" w:sz="1" w:space="0" w:color="CCCCCC"/>
              <w:left w:val="single" w:sz="1" w:space="0" w:color="CCCCCC"/>
              <w:bottom w:val="single" w:sz="1" w:space="0" w:color="CCCCCC"/>
              <w:right w:val="single" w:sz="1" w:space="0" w:color="CCCCCC"/>
            </w:tcBorders>
          </w:tcPr>
          <w:p w14:paraId="3D2E5F5E" w14:textId="77777777" w:rsidR="00303C68" w:rsidRDefault="00000000">
            <w:pPr>
              <w:spacing w:after="60"/>
              <w:rPr>
                <w:color w:val="1A1A1A"/>
                <w:sz w:val="21"/>
                <w:szCs w:val="21"/>
              </w:rPr>
            </w:pPr>
            <w:r>
              <w:rPr>
                <w:color w:val="1A1A1A"/>
                <w:sz w:val="21"/>
                <w:szCs w:val="21"/>
              </w:rPr>
              <w:t xml:space="preserve">We agree that the breadth of topics warranted clearer signposting of the core research threads. We have substantially expanded the focused content in three ways: </w:t>
            </w:r>
          </w:p>
          <w:p w14:paraId="33935370" w14:textId="77777777" w:rsidR="00303C68" w:rsidRPr="00303C68" w:rsidRDefault="00000000" w:rsidP="00303C68">
            <w:pPr>
              <w:pStyle w:val="ListParagraph"/>
              <w:numPr>
                <w:ilvl w:val="0"/>
                <w:numId w:val="3"/>
              </w:numPr>
              <w:spacing w:after="60"/>
            </w:pPr>
            <w:r w:rsidRPr="00303C68">
              <w:rPr>
                <w:color w:val="1A1A1A"/>
                <w:sz w:val="21"/>
                <w:szCs w:val="21"/>
              </w:rPr>
              <w:t xml:space="preserve">a new Research Journey narrative in Chapter 1 that traces the full arc from enterprise RAG through agentic AI to cross-domain deployment, highlighting the three core </w:t>
            </w:r>
            <w:proofErr w:type="gramStart"/>
            <w:r w:rsidRPr="00303C68">
              <w:rPr>
                <w:color w:val="1A1A1A"/>
                <w:sz w:val="21"/>
                <w:szCs w:val="21"/>
              </w:rPr>
              <w:t>threads;</w:t>
            </w:r>
            <w:proofErr w:type="gramEnd"/>
            <w:r w:rsidRPr="00303C68">
              <w:rPr>
                <w:color w:val="1A1A1A"/>
                <w:sz w:val="21"/>
                <w:szCs w:val="21"/>
              </w:rPr>
              <w:t xml:space="preserve"> </w:t>
            </w:r>
          </w:p>
          <w:p w14:paraId="21B1F683" w14:textId="77777777" w:rsidR="00303C68" w:rsidRPr="00303C68" w:rsidRDefault="00000000" w:rsidP="00303C68">
            <w:pPr>
              <w:pStyle w:val="ListParagraph"/>
              <w:numPr>
                <w:ilvl w:val="0"/>
                <w:numId w:val="3"/>
              </w:numPr>
              <w:spacing w:after="60"/>
            </w:pPr>
            <w:r w:rsidRPr="00303C68">
              <w:rPr>
                <w:color w:val="1A1A1A"/>
                <w:sz w:val="21"/>
                <w:szCs w:val="21"/>
              </w:rPr>
              <w:t xml:space="preserve">significant new technical content in Chapter 4 including a complete replacement of the </w:t>
            </w:r>
            <w:proofErr w:type="spellStart"/>
            <w:r w:rsidRPr="00303C68">
              <w:rPr>
                <w:color w:val="1A1A1A"/>
                <w:sz w:val="21"/>
                <w:szCs w:val="21"/>
              </w:rPr>
              <w:t>EdgeAgent</w:t>
            </w:r>
            <w:proofErr w:type="spellEnd"/>
            <w:r w:rsidRPr="00303C68">
              <w:rPr>
                <w:color w:val="1A1A1A"/>
                <w:sz w:val="21"/>
                <w:szCs w:val="21"/>
              </w:rPr>
              <w:t xml:space="preserve"> section with a comprehensive Agentic Success Rate (ASR) analysis across 18 LLMs and 90,000 task instances, plus a new </w:t>
            </w:r>
            <w:proofErr w:type="spellStart"/>
            <w:r w:rsidRPr="00303C68">
              <w:rPr>
                <w:color w:val="1A1A1A"/>
                <w:sz w:val="21"/>
                <w:szCs w:val="21"/>
              </w:rPr>
              <w:t>ConvPayMAS</w:t>
            </w:r>
            <w:proofErr w:type="spellEnd"/>
            <w:r w:rsidRPr="00303C68">
              <w:rPr>
                <w:color w:val="1A1A1A"/>
                <w:sz w:val="21"/>
                <w:szCs w:val="21"/>
              </w:rPr>
              <w:t xml:space="preserve"> subsection with enterprise evaluation framework; and </w:t>
            </w:r>
          </w:p>
          <w:p w14:paraId="065A5E25" w14:textId="1014A43F" w:rsidR="002965B4" w:rsidRDefault="00000000" w:rsidP="00303C68">
            <w:pPr>
              <w:pStyle w:val="ListParagraph"/>
              <w:numPr>
                <w:ilvl w:val="0"/>
                <w:numId w:val="3"/>
              </w:numPr>
              <w:spacing w:after="60"/>
            </w:pPr>
            <w:r w:rsidRPr="00303C68">
              <w:rPr>
                <w:color w:val="1A1A1A"/>
                <w:sz w:val="21"/>
                <w:szCs w:val="21"/>
              </w:rPr>
              <w:t>a new Entity Matching section in Chapter 5 providing cross-domain validation with 46 model configurations across 8 benchmark datasets.</w:t>
            </w:r>
          </w:p>
          <w:p w14:paraId="53DA5794" w14:textId="77777777" w:rsidR="002965B4" w:rsidRDefault="00000000">
            <w:pPr>
              <w:spacing w:after="60"/>
            </w:pPr>
            <w:r>
              <w:rPr>
                <w:color w:val="1A1A1A"/>
                <w:sz w:val="21"/>
                <w:szCs w:val="21"/>
              </w:rPr>
              <w:t xml:space="preserve">The revised dissertation now contains </w:t>
            </w:r>
            <w:r>
              <w:rPr>
                <w:b/>
                <w:bCs/>
                <w:color w:val="1A1A1A"/>
                <w:sz w:val="21"/>
                <w:szCs w:val="21"/>
              </w:rPr>
              <w:t>seventeen peer-reviewed publications</w:t>
            </w:r>
            <w:r>
              <w:rPr>
                <w:color w:val="1A1A1A"/>
                <w:sz w:val="21"/>
                <w:szCs w:val="21"/>
              </w:rPr>
              <w:t xml:space="preserve"> (eleven published and six accepted) with substantially deeper analysis on the most focused contributions.</w:t>
            </w:r>
          </w:p>
        </w:tc>
      </w:tr>
      <w:tr w:rsidR="002965B4" w14:paraId="078661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1E2EA7DA" w14:textId="77777777" w:rsidR="002965B4" w:rsidRDefault="00000000">
            <w:r>
              <w:rPr>
                <w:b/>
                <w:bCs/>
                <w:color w:val="E65100"/>
                <w:sz w:val="21"/>
                <w:szCs w:val="21"/>
              </w:rPr>
              <w:t>Changes Made</w:t>
            </w:r>
          </w:p>
        </w:tc>
        <w:tc>
          <w:tcPr>
            <w:tcW w:w="7160" w:type="dxa"/>
            <w:tcBorders>
              <w:top w:val="single" w:sz="1" w:space="0" w:color="CCCCCC"/>
              <w:left w:val="single" w:sz="1" w:space="0" w:color="CCCCCC"/>
              <w:bottom w:val="single" w:sz="1" w:space="0" w:color="CCCCCC"/>
              <w:right w:val="single" w:sz="1" w:space="0" w:color="CCCCCC"/>
            </w:tcBorders>
          </w:tcPr>
          <w:p w14:paraId="7EEA082B" w14:textId="77777777" w:rsidR="002965B4" w:rsidRDefault="00000000" w:rsidP="00F53F27">
            <w:pPr>
              <w:pStyle w:val="ListParagraph"/>
              <w:numPr>
                <w:ilvl w:val="0"/>
                <w:numId w:val="6"/>
              </w:numPr>
              <w:spacing w:after="60"/>
            </w:pPr>
            <w:r w:rsidRPr="00467B80">
              <w:rPr>
                <w:color w:val="1A1A1A"/>
                <w:sz w:val="21"/>
                <w:szCs w:val="21"/>
              </w:rPr>
              <w:t xml:space="preserve">Change 1: Updated publications list (Paper 9 – ASR replaces </w:t>
            </w:r>
            <w:proofErr w:type="spellStart"/>
            <w:r w:rsidRPr="00467B80">
              <w:rPr>
                <w:color w:val="1A1A1A"/>
                <w:sz w:val="21"/>
                <w:szCs w:val="21"/>
              </w:rPr>
              <w:t>EdgeAgent</w:t>
            </w:r>
            <w:proofErr w:type="spellEnd"/>
            <w:r w:rsidRPr="00467B80">
              <w:rPr>
                <w:color w:val="1A1A1A"/>
                <w:sz w:val="21"/>
                <w:szCs w:val="21"/>
              </w:rPr>
              <w:t xml:space="preserve">; Paper 15 – Entity Matching added); added Research Progression </w:t>
            </w:r>
            <w:proofErr w:type="spellStart"/>
            <w:r w:rsidRPr="00467B80">
              <w:rPr>
                <w:color w:val="1A1A1A"/>
                <w:sz w:val="21"/>
                <w:szCs w:val="21"/>
              </w:rPr>
              <w:t>TikZ</w:t>
            </w:r>
            <w:proofErr w:type="spellEnd"/>
            <w:r w:rsidRPr="00467B80">
              <w:rPr>
                <w:color w:val="1A1A1A"/>
                <w:sz w:val="21"/>
                <w:szCs w:val="21"/>
              </w:rPr>
              <w:t xml:space="preserve"> figure (Chapter 1).</w:t>
            </w:r>
          </w:p>
          <w:p w14:paraId="73485FBD" w14:textId="77777777" w:rsidR="002965B4" w:rsidRDefault="00000000" w:rsidP="00F53F27">
            <w:pPr>
              <w:pStyle w:val="ListParagraph"/>
              <w:numPr>
                <w:ilvl w:val="0"/>
                <w:numId w:val="6"/>
              </w:numPr>
              <w:spacing w:after="60"/>
            </w:pPr>
            <w:r w:rsidRPr="00467B80">
              <w:rPr>
                <w:color w:val="1A1A1A"/>
                <w:sz w:val="21"/>
                <w:szCs w:val="21"/>
              </w:rPr>
              <w:t>Change 2: Added “Research Journey: From Open-Weight LLMs to Enterprise AI Systems” subsection (Chapter 1) – three-phase narrative with cross-pillar insight flow and GAIME production discussion.</w:t>
            </w:r>
          </w:p>
          <w:p w14:paraId="3A8DDB1C" w14:textId="77777777" w:rsidR="002965B4" w:rsidRDefault="00000000" w:rsidP="00F53F27">
            <w:pPr>
              <w:pStyle w:val="ListParagraph"/>
              <w:numPr>
                <w:ilvl w:val="0"/>
                <w:numId w:val="6"/>
              </w:numPr>
              <w:spacing w:after="60"/>
            </w:pPr>
            <w:r w:rsidRPr="00467B80">
              <w:rPr>
                <w:color w:val="1A1A1A"/>
                <w:sz w:val="21"/>
                <w:szCs w:val="21"/>
              </w:rPr>
              <w:t>Change 4: Enhanced Industry Impact subsection (Chapter 1) – expanded from one paragraph to two substantive paragraphs covering production deployments and three broader impact themes.</w:t>
            </w:r>
          </w:p>
          <w:p w14:paraId="6F1B87FA" w14:textId="77777777" w:rsidR="002965B4" w:rsidRDefault="00000000" w:rsidP="00F53F27">
            <w:pPr>
              <w:pStyle w:val="ListParagraph"/>
              <w:numPr>
                <w:ilvl w:val="0"/>
                <w:numId w:val="6"/>
              </w:numPr>
              <w:spacing w:after="60"/>
            </w:pPr>
            <w:r w:rsidRPr="00467B80">
              <w:rPr>
                <w:color w:val="1A1A1A"/>
                <w:sz w:val="21"/>
                <w:szCs w:val="21"/>
              </w:rPr>
              <w:t xml:space="preserve">Change 5: Added Section 5.4.3 “Entity Matching with LLMs at Scale” (Chapter 5) – full subsection with </w:t>
            </w:r>
            <w:proofErr w:type="spellStart"/>
            <w:r w:rsidRPr="00467B80">
              <w:rPr>
                <w:color w:val="1A1A1A"/>
                <w:sz w:val="21"/>
                <w:szCs w:val="21"/>
              </w:rPr>
              <w:t>ComEM</w:t>
            </w:r>
            <w:proofErr w:type="spellEnd"/>
            <w:r w:rsidRPr="00467B80">
              <w:rPr>
                <w:color w:val="1A1A1A"/>
                <w:sz w:val="21"/>
                <w:szCs w:val="21"/>
              </w:rPr>
              <w:t xml:space="preserve"> framework, 46 model configurations, 8 datasets, Pareto frontier analysis; corresponding Literature Review update in Chapter 2.</w:t>
            </w:r>
          </w:p>
          <w:p w14:paraId="0E3C749D" w14:textId="77777777" w:rsidR="002965B4" w:rsidRDefault="00000000" w:rsidP="00F53F27">
            <w:pPr>
              <w:pStyle w:val="ListParagraph"/>
              <w:numPr>
                <w:ilvl w:val="0"/>
                <w:numId w:val="6"/>
              </w:numPr>
              <w:spacing w:after="60"/>
            </w:pPr>
            <w:r w:rsidRPr="00467B80">
              <w:rPr>
                <w:color w:val="1A1A1A"/>
                <w:sz w:val="21"/>
                <w:szCs w:val="21"/>
              </w:rPr>
              <w:lastRenderedPageBreak/>
              <w:t>Change 6: Replaced Section 4.8 (</w:t>
            </w:r>
            <w:proofErr w:type="spellStart"/>
            <w:r w:rsidRPr="00467B80">
              <w:rPr>
                <w:color w:val="1A1A1A"/>
                <w:sz w:val="21"/>
                <w:szCs w:val="21"/>
              </w:rPr>
              <w:t>EdgeAgent</w:t>
            </w:r>
            <w:proofErr w:type="spellEnd"/>
            <w:r w:rsidRPr="00467B80">
              <w:rPr>
                <w:color w:val="1A1A1A"/>
                <w:sz w:val="21"/>
                <w:szCs w:val="21"/>
              </w:rPr>
              <w:t>) with “Agentic Success Rate: Measuring Workflow Fidelity in Multi-Agent Payment Systems” (Chapter 4) – comprehensive ASR analysis including architecture, formal metric definition, experimental results across 18 LLMs and 90,000 instances, per-sample deviation analysis, and regulatory discussion.</w:t>
            </w:r>
          </w:p>
          <w:p w14:paraId="40526900" w14:textId="77777777" w:rsidR="002965B4" w:rsidRDefault="00000000" w:rsidP="00F53F27">
            <w:pPr>
              <w:pStyle w:val="ListParagraph"/>
              <w:numPr>
                <w:ilvl w:val="0"/>
                <w:numId w:val="6"/>
              </w:numPr>
              <w:spacing w:after="60"/>
            </w:pPr>
            <w:r w:rsidRPr="00467B80">
              <w:rPr>
                <w:color w:val="1A1A1A"/>
                <w:sz w:val="21"/>
                <w:szCs w:val="21"/>
              </w:rPr>
              <w:t xml:space="preserve">Change 7: Added “Ongoing Work: </w:t>
            </w:r>
            <w:proofErr w:type="spellStart"/>
            <w:r w:rsidRPr="00467B80">
              <w:rPr>
                <w:color w:val="1A1A1A"/>
                <w:sz w:val="21"/>
                <w:szCs w:val="21"/>
              </w:rPr>
              <w:t>ConvPayMAS</w:t>
            </w:r>
            <w:proofErr w:type="spellEnd"/>
            <w:r w:rsidRPr="00467B80">
              <w:rPr>
                <w:color w:val="1A1A1A"/>
                <w:sz w:val="21"/>
                <w:szCs w:val="21"/>
              </w:rPr>
              <w:t xml:space="preserve"> and Enterprise Evaluation Framework” subsection (Chapter 4) – AP2 three-mandate verification architecture, payment flow, and 3-pillar enterprise evaluation framework design.</w:t>
            </w:r>
          </w:p>
          <w:p w14:paraId="34930728" w14:textId="77777777" w:rsidR="002965B4" w:rsidRDefault="00000000" w:rsidP="00F53F27">
            <w:pPr>
              <w:pStyle w:val="ListParagraph"/>
              <w:numPr>
                <w:ilvl w:val="0"/>
                <w:numId w:val="6"/>
              </w:numPr>
              <w:spacing w:after="60"/>
            </w:pPr>
            <w:r w:rsidRPr="00467B80">
              <w:rPr>
                <w:color w:val="1A1A1A"/>
                <w:sz w:val="21"/>
                <w:szCs w:val="21"/>
              </w:rPr>
              <w:t xml:space="preserve">Change 10: Updated ASR </w:t>
            </w:r>
            <w:proofErr w:type="gramStart"/>
            <w:r w:rsidRPr="00467B80">
              <w:rPr>
                <w:color w:val="1A1A1A"/>
                <w:sz w:val="21"/>
                <w:szCs w:val="21"/>
              </w:rPr>
              <w:t>top-8</w:t>
            </w:r>
            <w:proofErr w:type="gramEnd"/>
            <w:r w:rsidRPr="00467B80">
              <w:rPr>
                <w:color w:val="1A1A1A"/>
                <w:sz w:val="21"/>
                <w:szCs w:val="21"/>
              </w:rPr>
              <w:t xml:space="preserve"> models table with Qwen3:14b; highlighted that all six open-weight models outperform both proprietary GPT models on average ASR.</w:t>
            </w:r>
          </w:p>
        </w:tc>
      </w:tr>
    </w:tbl>
    <w:p w14:paraId="4954488C" w14:textId="77777777" w:rsidR="002965B4" w:rsidRDefault="002965B4"/>
    <w:p w14:paraId="416FF44F" w14:textId="77777777" w:rsidR="002965B4" w:rsidRDefault="00000000">
      <w:pPr>
        <w:pStyle w:val="Heading1"/>
      </w:pPr>
      <w:r>
        <w:t>2. Clarify Theoretical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65B4" w14:paraId="54EEEC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vAlign w:val="center"/>
          </w:tcPr>
          <w:p w14:paraId="7EFC3F2E" w14:textId="77777777" w:rsidR="002965B4" w:rsidRDefault="00000000">
            <w:r>
              <w:rPr>
                <w:b/>
                <w:bCs/>
                <w:color w:val="2E5090"/>
                <w:sz w:val="21"/>
                <w:szCs w:val="21"/>
              </w:rPr>
              <w:t>Reviewer Comment</w:t>
            </w:r>
          </w:p>
        </w:tc>
        <w:tc>
          <w:tcPr>
            <w:tcW w:w="7160" w:type="dxa"/>
            <w:tcBorders>
              <w:top w:val="single" w:sz="1" w:space="0" w:color="CCCCCC"/>
              <w:left w:val="single" w:sz="1" w:space="0" w:color="CCCCCC"/>
              <w:bottom w:val="single" w:sz="1" w:space="0" w:color="CCCCCC"/>
              <w:right w:val="single" w:sz="1" w:space="0" w:color="CCCCCC"/>
            </w:tcBorders>
          </w:tcPr>
          <w:p w14:paraId="2E10C8AA" w14:textId="77777777" w:rsidR="002965B4" w:rsidRDefault="00000000">
            <w:r>
              <w:rPr>
                <w:i/>
                <w:iCs/>
                <w:color w:val="1A1A1A"/>
                <w:sz w:val="21"/>
                <w:szCs w:val="21"/>
              </w:rPr>
              <w:t>The theoretical contributions should be clearer. It should go beyond practical optimization and evaluation.</w:t>
            </w:r>
          </w:p>
        </w:tc>
      </w:tr>
      <w:tr w:rsidR="002965B4" w14:paraId="27F2DC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EA"/>
            <w:vAlign w:val="center"/>
          </w:tcPr>
          <w:p w14:paraId="6CF24860" w14:textId="77777777" w:rsidR="002965B4" w:rsidRDefault="00000000">
            <w:r>
              <w:rPr>
                <w:b/>
                <w:bCs/>
                <w:color w:val="1B5E20"/>
                <w:sz w:val="21"/>
                <w:szCs w:val="21"/>
              </w:rPr>
              <w:t>Response</w:t>
            </w:r>
          </w:p>
        </w:tc>
        <w:tc>
          <w:tcPr>
            <w:tcW w:w="7160" w:type="dxa"/>
            <w:tcBorders>
              <w:top w:val="single" w:sz="1" w:space="0" w:color="CCCCCC"/>
              <w:left w:val="single" w:sz="1" w:space="0" w:color="CCCCCC"/>
              <w:bottom w:val="single" w:sz="1" w:space="0" w:color="CCCCCC"/>
              <w:right w:val="single" w:sz="1" w:space="0" w:color="CCCCCC"/>
            </w:tcBorders>
          </w:tcPr>
          <w:p w14:paraId="6883907A" w14:textId="77777777" w:rsidR="00651CD8" w:rsidRDefault="00000000">
            <w:pPr>
              <w:spacing w:after="60"/>
              <w:rPr>
                <w:color w:val="1A1A1A"/>
                <w:sz w:val="21"/>
                <w:szCs w:val="21"/>
              </w:rPr>
            </w:pPr>
            <w:r>
              <w:rPr>
                <w:color w:val="1A1A1A"/>
                <w:sz w:val="21"/>
                <w:szCs w:val="21"/>
              </w:rPr>
              <w:t xml:space="preserve">We have strengthened the theoretical contributions in several ways. </w:t>
            </w:r>
          </w:p>
          <w:p w14:paraId="25CF7F17" w14:textId="3FE2527E" w:rsidR="002965B4" w:rsidRDefault="00000000" w:rsidP="00651CD8">
            <w:pPr>
              <w:pStyle w:val="ListParagraph"/>
              <w:numPr>
                <w:ilvl w:val="0"/>
                <w:numId w:val="7"/>
              </w:numPr>
              <w:spacing w:after="60"/>
            </w:pPr>
            <w:r w:rsidRPr="00651CD8">
              <w:rPr>
                <w:color w:val="1A1A1A"/>
                <w:sz w:val="21"/>
                <w:szCs w:val="21"/>
              </w:rPr>
              <w:t>First, the Agentic Success Rate (ASR) is now presented with its full formal definition—transition multisets, explicit Transition Recall and Transition Precision formulas, and ASR F</w:t>
            </w:r>
            <w:r w:rsidRPr="00651CD8">
              <w:rPr>
                <w:rFonts w:ascii="Cambria Math" w:hAnsi="Cambria Math" w:cs="Cambria Math"/>
                <w:color w:val="1A1A1A"/>
                <w:sz w:val="21"/>
                <w:szCs w:val="21"/>
              </w:rPr>
              <w:t>₁</w:t>
            </w:r>
            <w:r w:rsidRPr="00651CD8">
              <w:rPr>
                <w:color w:val="1A1A1A"/>
                <w:sz w:val="21"/>
                <w:szCs w:val="21"/>
              </w:rPr>
              <w:t>—grounded in process-mining conformance checking theory (van der Aalst, Carmona et al.). The ASR metric is positioned as a theoretical contribution that bridges process mining and LLM evaluation, demonstrating that trajectory-level fidelity reveals compliance-critical deviations invisible to task-success metrics.</w:t>
            </w:r>
          </w:p>
          <w:p w14:paraId="244B64B5" w14:textId="77777777" w:rsidR="002965B4" w:rsidRDefault="00000000" w:rsidP="00651CD8">
            <w:pPr>
              <w:pStyle w:val="ListParagraph"/>
              <w:numPr>
                <w:ilvl w:val="0"/>
                <w:numId w:val="7"/>
              </w:numPr>
              <w:spacing w:after="60"/>
            </w:pPr>
            <w:r w:rsidRPr="00651CD8">
              <w:rPr>
                <w:color w:val="1A1A1A"/>
                <w:sz w:val="21"/>
                <w:szCs w:val="21"/>
              </w:rPr>
              <w:t>Second, the structured error taxonomy—comprising four generalizable error types (</w:t>
            </w:r>
            <w:proofErr w:type="spellStart"/>
            <w:r w:rsidRPr="00651CD8">
              <w:rPr>
                <w:color w:val="1A1A1A"/>
                <w:sz w:val="21"/>
                <w:szCs w:val="21"/>
              </w:rPr>
              <w:t>initialisation</w:t>
            </w:r>
            <w:proofErr w:type="spellEnd"/>
            <w:r w:rsidRPr="00651CD8">
              <w:rPr>
                <w:color w:val="1A1A1A"/>
                <w:sz w:val="21"/>
                <w:szCs w:val="21"/>
              </w:rPr>
              <w:t xml:space="preserve">, parameter handling, execution, result interpretation) that scale with system complexity—is now explicitly framed as a theoretical framework rather than a domain-specific finding. The taxonomy yielded twelve categories in the three-tool invoice reconciliation system, but its four-type foundation </w:t>
            </w:r>
            <w:proofErr w:type="spellStart"/>
            <w:r w:rsidRPr="00651CD8">
              <w:rPr>
                <w:color w:val="1A1A1A"/>
                <w:sz w:val="21"/>
                <w:szCs w:val="21"/>
              </w:rPr>
              <w:t>generalises</w:t>
            </w:r>
            <w:proofErr w:type="spellEnd"/>
            <w:r w:rsidRPr="00651CD8">
              <w:rPr>
                <w:color w:val="1A1A1A"/>
                <w:sz w:val="21"/>
                <w:szCs w:val="21"/>
              </w:rPr>
              <w:t xml:space="preserve"> to any multi-tool agentic system.</w:t>
            </w:r>
          </w:p>
          <w:p w14:paraId="7B6334F0" w14:textId="77777777" w:rsidR="002965B4" w:rsidRDefault="00000000" w:rsidP="00651CD8">
            <w:pPr>
              <w:pStyle w:val="ListParagraph"/>
              <w:numPr>
                <w:ilvl w:val="0"/>
                <w:numId w:val="7"/>
              </w:numPr>
              <w:spacing w:after="60"/>
            </w:pPr>
            <w:r w:rsidRPr="00651CD8">
              <w:rPr>
                <w:color w:val="1A1A1A"/>
                <w:sz w:val="21"/>
                <w:szCs w:val="21"/>
              </w:rPr>
              <w:t>Third, the Entity Matching study contributes a new theoretical finding on family-dependent reasoning effects: reasoning effort has opposite impacts across model families (low reasoning optimal for GPT-5, high reasoning critical for open-weight models, asymmetric effects for Claude models), which extends beyond the specific entity matching domain.</w:t>
            </w:r>
          </w:p>
        </w:tc>
      </w:tr>
      <w:tr w:rsidR="002965B4" w14:paraId="13487A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2AFF9B44" w14:textId="77777777" w:rsidR="002965B4" w:rsidRDefault="00000000">
            <w:r>
              <w:rPr>
                <w:b/>
                <w:bCs/>
                <w:color w:val="E65100"/>
                <w:sz w:val="21"/>
                <w:szCs w:val="21"/>
              </w:rPr>
              <w:t>Changes Made</w:t>
            </w:r>
          </w:p>
        </w:tc>
        <w:tc>
          <w:tcPr>
            <w:tcW w:w="7160" w:type="dxa"/>
            <w:tcBorders>
              <w:top w:val="single" w:sz="1" w:space="0" w:color="CCCCCC"/>
              <w:left w:val="single" w:sz="1" w:space="0" w:color="CCCCCC"/>
              <w:bottom w:val="single" w:sz="1" w:space="0" w:color="CCCCCC"/>
              <w:right w:val="single" w:sz="1" w:space="0" w:color="CCCCCC"/>
            </w:tcBorders>
          </w:tcPr>
          <w:p w14:paraId="2AF44CBB" w14:textId="77777777" w:rsidR="002965B4" w:rsidRDefault="00000000" w:rsidP="00651CD8">
            <w:pPr>
              <w:pStyle w:val="ListParagraph"/>
              <w:numPr>
                <w:ilvl w:val="0"/>
                <w:numId w:val="8"/>
              </w:numPr>
              <w:spacing w:after="60"/>
            </w:pPr>
            <w:r w:rsidRPr="00651CD8">
              <w:rPr>
                <w:color w:val="1A1A1A"/>
                <w:sz w:val="21"/>
                <w:szCs w:val="21"/>
              </w:rPr>
              <w:t>Change 3: Expanded ASR metric in Chapter 1 Research Contributions with full formal definition (transition multisets, TR/TP formulas, ASR F</w:t>
            </w:r>
            <w:r w:rsidRPr="00651CD8">
              <w:rPr>
                <w:rFonts w:ascii="Cambria Math" w:hAnsi="Cambria Math" w:cs="Cambria Math"/>
                <w:color w:val="1A1A1A"/>
                <w:sz w:val="21"/>
                <w:szCs w:val="21"/>
              </w:rPr>
              <w:t>₁</w:t>
            </w:r>
            <w:r w:rsidRPr="00651CD8">
              <w:rPr>
                <w:color w:val="1A1A1A"/>
                <w:sz w:val="21"/>
                <w:szCs w:val="21"/>
              </w:rPr>
              <w:t>), quantitative evidence (18 LLMs, 90,000 instances), PCI-DSS regulatory significance, and +24.2 pp system engineering result. Added Entity Matching finding with family-dependent reasoning effects.</w:t>
            </w:r>
          </w:p>
          <w:p w14:paraId="79307148" w14:textId="77777777" w:rsidR="002965B4" w:rsidRDefault="00000000" w:rsidP="00651CD8">
            <w:pPr>
              <w:pStyle w:val="ListParagraph"/>
              <w:numPr>
                <w:ilvl w:val="0"/>
                <w:numId w:val="8"/>
              </w:numPr>
              <w:spacing w:after="60"/>
            </w:pPr>
            <w:r w:rsidRPr="00651CD8">
              <w:rPr>
                <w:color w:val="1A1A1A"/>
                <w:sz w:val="21"/>
                <w:szCs w:val="21"/>
              </w:rPr>
              <w:lastRenderedPageBreak/>
              <w:t>Change 6: ASR section in Chapter 4 now includes formal metric definition grounded in process-mining conformance checking, with explicit connection to van der Aalst’s token-based fitness.</w:t>
            </w:r>
          </w:p>
          <w:p w14:paraId="5276BEB5" w14:textId="77777777" w:rsidR="002965B4" w:rsidRDefault="00000000" w:rsidP="00651CD8">
            <w:pPr>
              <w:pStyle w:val="ListParagraph"/>
              <w:numPr>
                <w:ilvl w:val="0"/>
                <w:numId w:val="8"/>
              </w:numPr>
              <w:spacing w:after="60"/>
            </w:pPr>
            <w:r w:rsidRPr="00651CD8">
              <w:rPr>
                <w:color w:val="1A1A1A"/>
                <w:sz w:val="21"/>
                <w:szCs w:val="21"/>
              </w:rPr>
              <w:t>Change 8: Updated Chapter 6 metrics summary table (ASR description: “Trajectory-level workflow fidelity”); updated Findings 1 and 6 with current results; added “Unifying the Evaluation Metrics” subsection.</w:t>
            </w:r>
          </w:p>
          <w:p w14:paraId="307F00A5" w14:textId="77777777" w:rsidR="002965B4" w:rsidRDefault="00000000" w:rsidP="00651CD8">
            <w:pPr>
              <w:pStyle w:val="ListParagraph"/>
              <w:numPr>
                <w:ilvl w:val="0"/>
                <w:numId w:val="8"/>
              </w:numPr>
              <w:spacing w:after="60"/>
            </w:pPr>
            <w:r w:rsidRPr="00651CD8">
              <w:rPr>
                <w:color w:val="1A1A1A"/>
                <w:sz w:val="21"/>
                <w:szCs w:val="21"/>
              </w:rPr>
              <w:t xml:space="preserve">Change 9: </w:t>
            </w:r>
            <w:proofErr w:type="spellStart"/>
            <w:r w:rsidRPr="00651CD8">
              <w:rPr>
                <w:color w:val="1A1A1A"/>
                <w:sz w:val="21"/>
                <w:szCs w:val="21"/>
              </w:rPr>
              <w:t>Generalised</w:t>
            </w:r>
            <w:proofErr w:type="spellEnd"/>
            <w:r w:rsidRPr="00651CD8">
              <w:rPr>
                <w:color w:val="1A1A1A"/>
                <w:sz w:val="21"/>
                <w:szCs w:val="21"/>
              </w:rPr>
              <w:t xml:space="preserve"> “12-category error taxonomy” to “structured error taxonomy” across all files; added explanation that the four error </w:t>
            </w:r>
            <w:proofErr w:type="gramStart"/>
            <w:r w:rsidRPr="00651CD8">
              <w:rPr>
                <w:color w:val="1A1A1A"/>
                <w:sz w:val="21"/>
                <w:szCs w:val="21"/>
              </w:rPr>
              <w:t>types</w:t>
            </w:r>
            <w:proofErr w:type="gramEnd"/>
            <w:r w:rsidRPr="00651CD8">
              <w:rPr>
                <w:color w:val="1A1A1A"/>
                <w:sz w:val="21"/>
                <w:szCs w:val="21"/>
              </w:rPr>
              <w:t xml:space="preserve"> scale with system complexity (4 types × N tool stages).</w:t>
            </w:r>
          </w:p>
        </w:tc>
      </w:tr>
    </w:tbl>
    <w:p w14:paraId="5E803DAF" w14:textId="77777777" w:rsidR="002965B4" w:rsidRDefault="002965B4"/>
    <w:p w14:paraId="78CB5C68" w14:textId="77777777" w:rsidR="002965B4" w:rsidRDefault="00000000">
      <w:pPr>
        <w:pStyle w:val="Heading1"/>
      </w:pPr>
      <w:r>
        <w:t xml:space="preserve">3. More Cautious </w:t>
      </w:r>
      <w:proofErr w:type="spellStart"/>
      <w:r>
        <w:t>Generalisability</w:t>
      </w:r>
      <w:proofErr w:type="spellEnd"/>
      <w:r>
        <w:t xml:space="preserve">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65B4" w14:paraId="3D02E0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vAlign w:val="center"/>
          </w:tcPr>
          <w:p w14:paraId="2CA4E8F6" w14:textId="77777777" w:rsidR="002965B4" w:rsidRDefault="00000000">
            <w:r>
              <w:rPr>
                <w:b/>
                <w:bCs/>
                <w:color w:val="2E5090"/>
                <w:sz w:val="21"/>
                <w:szCs w:val="21"/>
              </w:rPr>
              <w:t>Reviewer Comment</w:t>
            </w:r>
          </w:p>
        </w:tc>
        <w:tc>
          <w:tcPr>
            <w:tcW w:w="7160" w:type="dxa"/>
            <w:tcBorders>
              <w:top w:val="single" w:sz="1" w:space="0" w:color="CCCCCC"/>
              <w:left w:val="single" w:sz="1" w:space="0" w:color="CCCCCC"/>
              <w:bottom w:val="single" w:sz="1" w:space="0" w:color="CCCCCC"/>
              <w:right w:val="single" w:sz="1" w:space="0" w:color="CCCCCC"/>
            </w:tcBorders>
          </w:tcPr>
          <w:p w14:paraId="4D89DD7D" w14:textId="77777777" w:rsidR="002965B4" w:rsidRDefault="00000000">
            <w:r>
              <w:rPr>
                <w:i/>
                <w:iCs/>
                <w:color w:val="1A1A1A"/>
                <w:sz w:val="21"/>
                <w:szCs w:val="21"/>
              </w:rPr>
              <w:t>Claims about generalizability should be more cautious.</w:t>
            </w:r>
          </w:p>
        </w:tc>
      </w:tr>
      <w:tr w:rsidR="002965B4" w14:paraId="71F580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EA"/>
            <w:vAlign w:val="center"/>
          </w:tcPr>
          <w:p w14:paraId="325CEBB1" w14:textId="77777777" w:rsidR="002965B4" w:rsidRDefault="00000000">
            <w:r>
              <w:rPr>
                <w:b/>
                <w:bCs/>
                <w:color w:val="1B5E20"/>
                <w:sz w:val="21"/>
                <w:szCs w:val="21"/>
              </w:rPr>
              <w:t>Response</w:t>
            </w:r>
          </w:p>
        </w:tc>
        <w:tc>
          <w:tcPr>
            <w:tcW w:w="7160" w:type="dxa"/>
            <w:tcBorders>
              <w:top w:val="single" w:sz="1" w:space="0" w:color="CCCCCC"/>
              <w:left w:val="single" w:sz="1" w:space="0" w:color="CCCCCC"/>
              <w:bottom w:val="single" w:sz="1" w:space="0" w:color="CCCCCC"/>
              <w:right w:val="single" w:sz="1" w:space="0" w:color="CCCCCC"/>
            </w:tcBorders>
          </w:tcPr>
          <w:p w14:paraId="59AB7CD9" w14:textId="77777777" w:rsidR="00651CD8" w:rsidRDefault="00000000">
            <w:pPr>
              <w:spacing w:after="60"/>
              <w:rPr>
                <w:color w:val="1A1A1A"/>
                <w:sz w:val="21"/>
                <w:szCs w:val="21"/>
              </w:rPr>
            </w:pPr>
            <w:r>
              <w:rPr>
                <w:color w:val="1A1A1A"/>
                <w:sz w:val="21"/>
                <w:szCs w:val="21"/>
              </w:rPr>
              <w:t xml:space="preserve">We have taken several steps to temper </w:t>
            </w:r>
            <w:r w:rsidR="00651CD8">
              <w:rPr>
                <w:color w:val="1A1A1A"/>
                <w:sz w:val="21"/>
                <w:szCs w:val="21"/>
              </w:rPr>
              <w:t>generalizability</w:t>
            </w:r>
            <w:r>
              <w:rPr>
                <w:color w:val="1A1A1A"/>
                <w:sz w:val="21"/>
                <w:szCs w:val="21"/>
              </w:rPr>
              <w:t xml:space="preserve"> claims throughout the dissertation. </w:t>
            </w:r>
          </w:p>
          <w:p w14:paraId="461167EB" w14:textId="77777777" w:rsidR="002965B4" w:rsidRDefault="00000000" w:rsidP="00651CD8">
            <w:pPr>
              <w:pStyle w:val="ListParagraph"/>
              <w:numPr>
                <w:ilvl w:val="0"/>
                <w:numId w:val="9"/>
              </w:numPr>
              <w:spacing w:after="60"/>
            </w:pPr>
            <w:r w:rsidRPr="00651CD8">
              <w:rPr>
                <w:color w:val="1A1A1A"/>
                <w:sz w:val="21"/>
                <w:szCs w:val="21"/>
              </w:rPr>
              <w:t>The error taxonomy terminology was changed from “12-category error taxonomy” (which implied a fixed, universally applicable set of twelve categories) to “structured error taxonomy,” with an explicit note that the twelve categories arise specifically from four error types applied across three tool call stages in the invoice reconciliation system—systems with different numbers of tool calls would yield different category counts.</w:t>
            </w:r>
          </w:p>
          <w:p w14:paraId="55B73EEA" w14:textId="5C96AF3E" w:rsidR="002965B4" w:rsidRDefault="00353DA2" w:rsidP="00353DA2">
            <w:pPr>
              <w:pStyle w:val="ListParagraph"/>
              <w:numPr>
                <w:ilvl w:val="0"/>
                <w:numId w:val="9"/>
              </w:numPr>
              <w:spacing w:after="60"/>
            </w:pPr>
            <w:r w:rsidRPr="00353DA2">
              <w:t>Due to time constraints, we will continue this exercise after the oral defense.</w:t>
            </w:r>
          </w:p>
        </w:tc>
      </w:tr>
      <w:tr w:rsidR="002965B4" w14:paraId="65359D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724A0BBB" w14:textId="77777777" w:rsidR="002965B4" w:rsidRDefault="00000000">
            <w:r>
              <w:rPr>
                <w:b/>
                <w:bCs/>
                <w:color w:val="E65100"/>
                <w:sz w:val="21"/>
                <w:szCs w:val="21"/>
              </w:rPr>
              <w:t>Changes Made</w:t>
            </w:r>
          </w:p>
        </w:tc>
        <w:tc>
          <w:tcPr>
            <w:tcW w:w="7160" w:type="dxa"/>
            <w:tcBorders>
              <w:top w:val="single" w:sz="1" w:space="0" w:color="CCCCCC"/>
              <w:left w:val="single" w:sz="1" w:space="0" w:color="CCCCCC"/>
              <w:bottom w:val="single" w:sz="1" w:space="0" w:color="CCCCCC"/>
              <w:right w:val="single" w:sz="1" w:space="0" w:color="CCCCCC"/>
            </w:tcBorders>
          </w:tcPr>
          <w:p w14:paraId="14142E01" w14:textId="69989DD4" w:rsidR="002965B4" w:rsidRDefault="00E0088C" w:rsidP="00E0088C">
            <w:pPr>
              <w:pStyle w:val="ListParagraph"/>
              <w:numPr>
                <w:ilvl w:val="0"/>
                <w:numId w:val="13"/>
              </w:numPr>
              <w:spacing w:after="60"/>
            </w:pPr>
            <w:r>
              <w:t xml:space="preserve">Change 9: </w:t>
            </w:r>
            <w:proofErr w:type="spellStart"/>
            <w:r w:rsidRPr="00E0088C">
              <w:t>Generalised</w:t>
            </w:r>
            <w:proofErr w:type="spellEnd"/>
            <w:r w:rsidRPr="00E0088C">
              <w:t xml:space="preserve"> error taxonomy</w:t>
            </w:r>
          </w:p>
        </w:tc>
      </w:tr>
    </w:tbl>
    <w:p w14:paraId="54ECE4FB" w14:textId="77777777" w:rsidR="002965B4" w:rsidRDefault="002965B4"/>
    <w:p w14:paraId="1F195391" w14:textId="77777777" w:rsidR="002965B4" w:rsidRDefault="00000000">
      <w:pPr>
        <w:pStyle w:val="Heading1"/>
      </w:pPr>
      <w:r>
        <w:t>4. Stronger Linkage and Integration Across Chapters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965B4" w14:paraId="4A3619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vAlign w:val="center"/>
          </w:tcPr>
          <w:p w14:paraId="29A7A81C" w14:textId="77777777" w:rsidR="002965B4" w:rsidRDefault="00000000">
            <w:r>
              <w:rPr>
                <w:b/>
                <w:bCs/>
                <w:color w:val="2E5090"/>
                <w:sz w:val="21"/>
                <w:szCs w:val="21"/>
              </w:rPr>
              <w:t>Reviewer Comment</w:t>
            </w:r>
          </w:p>
        </w:tc>
        <w:tc>
          <w:tcPr>
            <w:tcW w:w="7160" w:type="dxa"/>
            <w:tcBorders>
              <w:top w:val="single" w:sz="1" w:space="0" w:color="CCCCCC"/>
              <w:left w:val="single" w:sz="1" w:space="0" w:color="CCCCCC"/>
              <w:bottom w:val="single" w:sz="1" w:space="0" w:color="CCCCCC"/>
              <w:right w:val="single" w:sz="1" w:space="0" w:color="CCCCCC"/>
            </w:tcBorders>
          </w:tcPr>
          <w:p w14:paraId="1FE90A1F" w14:textId="77777777" w:rsidR="002965B4" w:rsidRDefault="00000000">
            <w:r>
              <w:rPr>
                <w:i/>
                <w:iCs/>
                <w:color w:val="1A1A1A"/>
                <w:sz w:val="21"/>
                <w:szCs w:val="21"/>
              </w:rPr>
              <w:t>Stronger linkage and integration across chapters are needed.</w:t>
            </w:r>
          </w:p>
        </w:tc>
      </w:tr>
      <w:tr w:rsidR="002965B4" w14:paraId="7CB738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4EA"/>
            <w:vAlign w:val="center"/>
          </w:tcPr>
          <w:p w14:paraId="1889E0AA" w14:textId="77777777" w:rsidR="002965B4" w:rsidRDefault="00000000">
            <w:r>
              <w:rPr>
                <w:b/>
                <w:bCs/>
                <w:color w:val="1B5E20"/>
                <w:sz w:val="21"/>
                <w:szCs w:val="21"/>
              </w:rPr>
              <w:t>Response</w:t>
            </w:r>
          </w:p>
        </w:tc>
        <w:tc>
          <w:tcPr>
            <w:tcW w:w="7160" w:type="dxa"/>
            <w:tcBorders>
              <w:top w:val="single" w:sz="1" w:space="0" w:color="CCCCCC"/>
              <w:left w:val="single" w:sz="1" w:space="0" w:color="CCCCCC"/>
              <w:bottom w:val="single" w:sz="1" w:space="0" w:color="CCCCCC"/>
              <w:right w:val="single" w:sz="1" w:space="0" w:color="CCCCCC"/>
            </w:tcBorders>
          </w:tcPr>
          <w:p w14:paraId="3A651F93" w14:textId="77777777" w:rsidR="00353DA2" w:rsidRDefault="00000000">
            <w:pPr>
              <w:spacing w:after="60"/>
              <w:rPr>
                <w:color w:val="1A1A1A"/>
                <w:sz w:val="21"/>
                <w:szCs w:val="21"/>
              </w:rPr>
            </w:pPr>
            <w:r>
              <w:rPr>
                <w:color w:val="1A1A1A"/>
                <w:sz w:val="21"/>
                <w:szCs w:val="21"/>
              </w:rPr>
              <w:t xml:space="preserve">We have substantially strengthened cross-chapter integration through three complementary mechanisms. </w:t>
            </w:r>
          </w:p>
          <w:p w14:paraId="7C7C9CE4" w14:textId="408E9E8B" w:rsidR="002965B4" w:rsidRDefault="00000000" w:rsidP="00353DA2">
            <w:pPr>
              <w:pStyle w:val="ListParagraph"/>
              <w:numPr>
                <w:ilvl w:val="0"/>
                <w:numId w:val="10"/>
              </w:numPr>
              <w:spacing w:after="60"/>
            </w:pPr>
            <w:r w:rsidRPr="00353DA2">
              <w:rPr>
                <w:color w:val="1A1A1A"/>
                <w:sz w:val="21"/>
                <w:szCs w:val="21"/>
              </w:rPr>
              <w:t>First, the new Research Progression figure in Chapter 1 provides a visual timeline-based flow diagram showing all 17 papers arranged chronologically (2024–2026) and grouped by pillar, with three explicit cross-pillar arrows: quality metrics (P3→P4), edge deployment (P10→P4), and reasoning effectiveness (P14→P7). The accompanying Research Journey subsection narratively explains how each cross-pillar insight flowed between chapters.</w:t>
            </w:r>
          </w:p>
          <w:p w14:paraId="539BCD70" w14:textId="54792584" w:rsidR="002965B4" w:rsidRDefault="00000000" w:rsidP="00353DA2">
            <w:pPr>
              <w:pStyle w:val="ListParagraph"/>
              <w:numPr>
                <w:ilvl w:val="0"/>
                <w:numId w:val="10"/>
              </w:numPr>
              <w:spacing w:after="60"/>
            </w:pPr>
            <w:r w:rsidRPr="00353DA2">
              <w:rPr>
                <w:color w:val="1A1A1A"/>
                <w:sz w:val="21"/>
                <w:szCs w:val="21"/>
              </w:rPr>
              <w:t xml:space="preserve">Second, the Entity Matching section (Chapter 5) was designed with explicit bi-directional links: backward to the task-complexity findings in Section 5.3.3 (reasoning effectiveness depends on complexity) and forward to the GAIME production system, while the corresponding Literature Review update in Chapter 2 identifies the research gap that motivates the study. Chapter 6 was updated to </w:t>
            </w:r>
            <w:r w:rsidRPr="00353DA2">
              <w:rPr>
                <w:color w:val="1A1A1A"/>
                <w:sz w:val="21"/>
                <w:szCs w:val="21"/>
              </w:rPr>
              <w:lastRenderedPageBreak/>
              <w:t>reflect entity matching results in the Open-Source Viability and Task Complexity findings.</w:t>
            </w:r>
          </w:p>
          <w:p w14:paraId="1B253036" w14:textId="77777777" w:rsidR="002965B4" w:rsidRDefault="00000000" w:rsidP="001B6888">
            <w:pPr>
              <w:pStyle w:val="ListParagraph"/>
              <w:numPr>
                <w:ilvl w:val="0"/>
                <w:numId w:val="10"/>
              </w:numPr>
              <w:spacing w:after="60"/>
            </w:pPr>
            <w:r w:rsidRPr="001B6888">
              <w:rPr>
                <w:color w:val="1A1A1A"/>
                <w:sz w:val="21"/>
                <w:szCs w:val="21"/>
              </w:rPr>
              <w:t xml:space="preserve">Third, </w:t>
            </w:r>
            <w:proofErr w:type="spellStart"/>
            <w:r w:rsidRPr="001B6888">
              <w:rPr>
                <w:color w:val="1A1A1A"/>
                <w:sz w:val="21"/>
                <w:szCs w:val="21"/>
              </w:rPr>
              <w:t>ConvPayMAS</w:t>
            </w:r>
            <w:proofErr w:type="spellEnd"/>
            <w:r w:rsidRPr="001B6888">
              <w:rPr>
                <w:color w:val="1A1A1A"/>
                <w:sz w:val="21"/>
                <w:szCs w:val="21"/>
              </w:rPr>
              <w:t xml:space="preserve"> (Chapter 4) serves as an integration point linking the ASR diagnostic framework to a production-scale payment system and the enterprise evaluation framework, creating a bridge from evaluation metrics (Chapter 4) to deployment strategies (Chapter 5). The cross-file consistency review (Change 8) ensured that all publication counts, metric definitions, and model results are consistent across Chapters 1, 4, 5, 6, and the abstract.</w:t>
            </w:r>
          </w:p>
        </w:tc>
      </w:tr>
      <w:tr w:rsidR="002965B4" w14:paraId="4717FF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E0"/>
            <w:vAlign w:val="center"/>
          </w:tcPr>
          <w:p w14:paraId="1BECFEB2" w14:textId="77777777" w:rsidR="002965B4" w:rsidRDefault="00000000">
            <w:r>
              <w:rPr>
                <w:b/>
                <w:bCs/>
                <w:color w:val="E65100"/>
                <w:sz w:val="21"/>
                <w:szCs w:val="21"/>
              </w:rPr>
              <w:lastRenderedPageBreak/>
              <w:t>Changes Made</w:t>
            </w:r>
          </w:p>
        </w:tc>
        <w:tc>
          <w:tcPr>
            <w:tcW w:w="7160" w:type="dxa"/>
            <w:tcBorders>
              <w:top w:val="single" w:sz="1" w:space="0" w:color="CCCCCC"/>
              <w:left w:val="single" w:sz="1" w:space="0" w:color="CCCCCC"/>
              <w:bottom w:val="single" w:sz="1" w:space="0" w:color="CCCCCC"/>
              <w:right w:val="single" w:sz="1" w:space="0" w:color="CCCCCC"/>
            </w:tcBorders>
          </w:tcPr>
          <w:p w14:paraId="6DF3B546" w14:textId="77777777" w:rsidR="002965B4" w:rsidRDefault="00000000" w:rsidP="001B6888">
            <w:pPr>
              <w:pStyle w:val="ListParagraph"/>
              <w:numPr>
                <w:ilvl w:val="0"/>
                <w:numId w:val="12"/>
              </w:numPr>
              <w:spacing w:after="60"/>
            </w:pPr>
            <w:r w:rsidRPr="001B6888">
              <w:rPr>
                <w:color w:val="1A1A1A"/>
                <w:sz w:val="21"/>
                <w:szCs w:val="21"/>
              </w:rPr>
              <w:t xml:space="preserve">Change 1: Research Progression </w:t>
            </w:r>
            <w:proofErr w:type="spellStart"/>
            <w:r w:rsidRPr="001B6888">
              <w:rPr>
                <w:color w:val="1A1A1A"/>
                <w:sz w:val="21"/>
                <w:szCs w:val="21"/>
              </w:rPr>
              <w:t>TikZ</w:t>
            </w:r>
            <w:proofErr w:type="spellEnd"/>
            <w:r w:rsidRPr="001B6888">
              <w:rPr>
                <w:color w:val="1A1A1A"/>
                <w:sz w:val="21"/>
                <w:szCs w:val="21"/>
              </w:rPr>
              <w:t xml:space="preserve"> figure with cross-pillar arrows (P3→P4, P10→P4, P14→P7).</w:t>
            </w:r>
          </w:p>
          <w:p w14:paraId="397E2AA0" w14:textId="77777777" w:rsidR="002965B4" w:rsidRDefault="00000000" w:rsidP="001B6888">
            <w:pPr>
              <w:pStyle w:val="ListParagraph"/>
              <w:numPr>
                <w:ilvl w:val="0"/>
                <w:numId w:val="12"/>
              </w:numPr>
              <w:spacing w:after="60"/>
            </w:pPr>
            <w:r w:rsidRPr="001B6888">
              <w:rPr>
                <w:color w:val="1A1A1A"/>
                <w:sz w:val="21"/>
                <w:szCs w:val="21"/>
              </w:rPr>
              <w:t>Change 2: Research Journey subsection explaining three-phase arc and all cross-pillar insight flows.</w:t>
            </w:r>
          </w:p>
          <w:p w14:paraId="3836210E" w14:textId="77777777" w:rsidR="002965B4" w:rsidRDefault="00000000" w:rsidP="001B6888">
            <w:pPr>
              <w:pStyle w:val="ListParagraph"/>
              <w:numPr>
                <w:ilvl w:val="0"/>
                <w:numId w:val="12"/>
              </w:numPr>
              <w:spacing w:after="60"/>
            </w:pPr>
            <w:r w:rsidRPr="001B6888">
              <w:rPr>
                <w:color w:val="1A1A1A"/>
                <w:sz w:val="21"/>
                <w:szCs w:val="21"/>
              </w:rPr>
              <w:t>Change 5: Entity Matching section with links to Chapter 2 (literature), Chapter 5 Section 5.3.3 (task complexity), Chapter 6 (findings), and Chapter 1 (dissertation structure).</w:t>
            </w:r>
          </w:p>
          <w:p w14:paraId="0F9EE344" w14:textId="77777777" w:rsidR="002965B4" w:rsidRDefault="00000000" w:rsidP="001B6888">
            <w:pPr>
              <w:pStyle w:val="ListParagraph"/>
              <w:numPr>
                <w:ilvl w:val="0"/>
                <w:numId w:val="12"/>
              </w:numPr>
              <w:spacing w:after="60"/>
            </w:pPr>
            <w:r w:rsidRPr="001B6888">
              <w:rPr>
                <w:color w:val="1A1A1A"/>
                <w:sz w:val="21"/>
                <w:szCs w:val="21"/>
              </w:rPr>
              <w:t xml:space="preserve">Change 7: </w:t>
            </w:r>
            <w:proofErr w:type="spellStart"/>
            <w:r w:rsidRPr="001B6888">
              <w:rPr>
                <w:color w:val="1A1A1A"/>
                <w:sz w:val="21"/>
                <w:szCs w:val="21"/>
              </w:rPr>
              <w:t>ConvPayMAS</w:t>
            </w:r>
            <w:proofErr w:type="spellEnd"/>
            <w:r w:rsidRPr="001B6888">
              <w:rPr>
                <w:color w:val="1A1A1A"/>
                <w:sz w:val="21"/>
                <w:szCs w:val="21"/>
              </w:rPr>
              <w:t xml:space="preserve"> linking ASR diagnostics → production system → enterprise evaluation framework across Chapter 4.</w:t>
            </w:r>
          </w:p>
          <w:p w14:paraId="5D815EA0" w14:textId="77777777" w:rsidR="002965B4" w:rsidRDefault="00000000" w:rsidP="001B6888">
            <w:pPr>
              <w:pStyle w:val="ListParagraph"/>
              <w:numPr>
                <w:ilvl w:val="0"/>
                <w:numId w:val="12"/>
              </w:numPr>
              <w:spacing w:after="60"/>
            </w:pPr>
            <w:r w:rsidRPr="001B6888">
              <w:rPr>
                <w:color w:val="1A1A1A"/>
                <w:sz w:val="21"/>
                <w:szCs w:val="21"/>
              </w:rPr>
              <w:t>Change 8: Cross-file consistency review – aligned publication counts, metric definitions, model results, and stale references across Chapters 1, 4, 6, and the abstract.</w:t>
            </w:r>
          </w:p>
        </w:tc>
      </w:tr>
    </w:tbl>
    <w:p w14:paraId="7EAF20F5" w14:textId="77777777" w:rsidR="002965B4" w:rsidRDefault="002965B4"/>
    <w:p w14:paraId="1F905CD4" w14:textId="77777777" w:rsidR="002965B4" w:rsidRDefault="00000000">
      <w:pPr>
        <w:pStyle w:val="Heading1"/>
      </w:pPr>
      <w:r>
        <w:t>Summary of All Changes</w:t>
      </w:r>
    </w:p>
    <w:p w14:paraId="0045F43B" w14:textId="77777777" w:rsidR="002965B4" w:rsidRDefault="00000000">
      <w:pPr>
        <w:spacing w:after="200"/>
      </w:pPr>
      <w:r>
        <w:rPr>
          <w:color w:val="1A1A1A"/>
        </w:rPr>
        <w:t xml:space="preserve">The following table </w:t>
      </w:r>
      <w:proofErr w:type="spellStart"/>
      <w:r>
        <w:rPr>
          <w:color w:val="1A1A1A"/>
        </w:rPr>
        <w:t>summarises</w:t>
      </w:r>
      <w:proofErr w:type="spellEnd"/>
      <w:r>
        <w:rPr>
          <w:color w:val="1A1A1A"/>
        </w:rPr>
        <w:t xml:space="preserve"> all ten changes made to the dissertation in response to the examiner’s four recommended minor changes. Each change addresses one or more reviewer points as indicated.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60"/>
        <w:gridCol w:w="1600"/>
        <w:gridCol w:w="1600"/>
      </w:tblGrid>
      <w:tr w:rsidR="002965B4" w14:paraId="3AA1B8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5090"/>
          </w:tcPr>
          <w:p w14:paraId="16B72C4A" w14:textId="77777777" w:rsidR="002965B4" w:rsidRDefault="00000000">
            <w:pPr>
              <w:jc w:val="center"/>
            </w:pPr>
            <w:r>
              <w:rPr>
                <w:b/>
                <w:bCs/>
                <w:color w:val="FFFFFF"/>
                <w:sz w:val="20"/>
                <w:szCs w:val="20"/>
              </w:rPr>
              <w:t>Change</w:t>
            </w:r>
          </w:p>
        </w:tc>
        <w:tc>
          <w:tcPr>
            <w:tcW w:w="5260" w:type="dxa"/>
            <w:tcBorders>
              <w:top w:val="single" w:sz="1" w:space="0" w:color="CCCCCC"/>
              <w:left w:val="single" w:sz="1" w:space="0" w:color="CCCCCC"/>
              <w:bottom w:val="single" w:sz="1" w:space="0" w:color="CCCCCC"/>
              <w:right w:val="single" w:sz="1" w:space="0" w:color="CCCCCC"/>
            </w:tcBorders>
            <w:shd w:val="clear" w:color="auto" w:fill="2E5090"/>
          </w:tcPr>
          <w:p w14:paraId="0C2AD6D9" w14:textId="77777777" w:rsidR="002965B4" w:rsidRDefault="00000000">
            <w:pPr>
              <w:jc w:val="center"/>
            </w:pPr>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Pr>
          <w:p w14:paraId="6280FB02" w14:textId="77777777" w:rsidR="002965B4" w:rsidRDefault="00000000">
            <w:pPr>
              <w:jc w:val="center"/>
            </w:pPr>
            <w:r>
              <w:rPr>
                <w:b/>
                <w:bCs/>
                <w:color w:val="FFFFFF"/>
                <w:sz w:val="20"/>
                <w:szCs w:val="20"/>
              </w:rPr>
              <w:t>Reviewer Point(s)</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Pr>
          <w:p w14:paraId="092A6642" w14:textId="77777777" w:rsidR="002965B4" w:rsidRDefault="00000000">
            <w:pPr>
              <w:jc w:val="center"/>
            </w:pPr>
            <w:r>
              <w:rPr>
                <w:b/>
                <w:bCs/>
                <w:color w:val="FFFFFF"/>
                <w:sz w:val="20"/>
                <w:szCs w:val="20"/>
              </w:rPr>
              <w:t>Files Modified</w:t>
            </w:r>
          </w:p>
        </w:tc>
      </w:tr>
      <w:tr w:rsidR="002965B4" w14:paraId="6137F6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693223D5" w14:textId="77777777" w:rsidR="002965B4" w:rsidRDefault="00000000">
            <w:pPr>
              <w:jc w:val="center"/>
            </w:pPr>
            <w:r>
              <w:rPr>
                <w:b/>
                <w:bCs/>
                <w:color w:val="1A1A1A"/>
                <w:sz w:val="20"/>
                <w:szCs w:val="20"/>
              </w:rPr>
              <w:t>1</w:t>
            </w:r>
          </w:p>
        </w:tc>
        <w:tc>
          <w:tcPr>
            <w:tcW w:w="5260" w:type="dxa"/>
            <w:tcBorders>
              <w:top w:val="single" w:sz="1" w:space="0" w:color="CCCCCC"/>
              <w:left w:val="single" w:sz="1" w:space="0" w:color="CCCCCC"/>
              <w:bottom w:val="single" w:sz="1" w:space="0" w:color="CCCCCC"/>
              <w:right w:val="single" w:sz="1" w:space="0" w:color="CCCCCC"/>
            </w:tcBorders>
          </w:tcPr>
          <w:p w14:paraId="43959312" w14:textId="77777777" w:rsidR="002965B4" w:rsidRDefault="00000000">
            <w:r>
              <w:rPr>
                <w:color w:val="1A1A1A"/>
                <w:sz w:val="20"/>
                <w:szCs w:val="20"/>
              </w:rPr>
              <w:t>Updated publications list; Research Progression figure</w:t>
            </w:r>
          </w:p>
        </w:tc>
        <w:tc>
          <w:tcPr>
            <w:tcW w:w="1600" w:type="dxa"/>
            <w:tcBorders>
              <w:top w:val="single" w:sz="1" w:space="0" w:color="CCCCCC"/>
              <w:left w:val="single" w:sz="1" w:space="0" w:color="CCCCCC"/>
              <w:bottom w:val="single" w:sz="1" w:space="0" w:color="CCCCCC"/>
              <w:right w:val="single" w:sz="1" w:space="0" w:color="CCCCCC"/>
            </w:tcBorders>
          </w:tcPr>
          <w:p w14:paraId="5C37FA92" w14:textId="68641DDD" w:rsidR="002965B4" w:rsidRDefault="00000000">
            <w:pPr>
              <w:jc w:val="center"/>
            </w:pPr>
            <w:r>
              <w:rPr>
                <w:color w:val="1A1A1A"/>
                <w:sz w:val="20"/>
                <w:szCs w:val="20"/>
              </w:rPr>
              <w:t>#1</w:t>
            </w:r>
          </w:p>
        </w:tc>
        <w:tc>
          <w:tcPr>
            <w:tcW w:w="1600" w:type="dxa"/>
            <w:tcBorders>
              <w:top w:val="single" w:sz="1" w:space="0" w:color="CCCCCC"/>
              <w:left w:val="single" w:sz="1" w:space="0" w:color="CCCCCC"/>
              <w:bottom w:val="single" w:sz="1" w:space="0" w:color="CCCCCC"/>
              <w:right w:val="single" w:sz="1" w:space="0" w:color="CCCCCC"/>
            </w:tcBorders>
          </w:tcPr>
          <w:p w14:paraId="6A94957E" w14:textId="70606EE4" w:rsidR="002965B4" w:rsidRDefault="00000000">
            <w:pPr>
              <w:jc w:val="center"/>
            </w:pPr>
            <w:r>
              <w:rPr>
                <w:color w:val="1A1A1A"/>
                <w:sz w:val="20"/>
                <w:szCs w:val="20"/>
              </w:rPr>
              <w:t>Ch 1</w:t>
            </w:r>
          </w:p>
        </w:tc>
      </w:tr>
      <w:tr w:rsidR="002965B4" w14:paraId="0E02EB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3AF9D7F6" w14:textId="77777777" w:rsidR="002965B4" w:rsidRDefault="00000000">
            <w:pPr>
              <w:jc w:val="center"/>
            </w:pPr>
            <w:r>
              <w:rPr>
                <w:b/>
                <w:bCs/>
                <w:color w:val="1A1A1A"/>
                <w:sz w:val="20"/>
                <w:szCs w:val="20"/>
              </w:rPr>
              <w:t>2</w:t>
            </w:r>
          </w:p>
        </w:tc>
        <w:tc>
          <w:tcPr>
            <w:tcW w:w="5260" w:type="dxa"/>
            <w:tcBorders>
              <w:top w:val="single" w:sz="1" w:space="0" w:color="CCCCCC"/>
              <w:left w:val="single" w:sz="1" w:space="0" w:color="CCCCCC"/>
              <w:bottom w:val="single" w:sz="1" w:space="0" w:color="CCCCCC"/>
              <w:right w:val="single" w:sz="1" w:space="0" w:color="CCCCCC"/>
            </w:tcBorders>
          </w:tcPr>
          <w:p w14:paraId="1DDECB51" w14:textId="77777777" w:rsidR="002965B4" w:rsidRDefault="00000000">
            <w:r>
              <w:rPr>
                <w:color w:val="1A1A1A"/>
                <w:sz w:val="20"/>
                <w:szCs w:val="20"/>
              </w:rPr>
              <w:t>Research Journey subsection (three-phase narrative)</w:t>
            </w:r>
          </w:p>
        </w:tc>
        <w:tc>
          <w:tcPr>
            <w:tcW w:w="1600" w:type="dxa"/>
            <w:tcBorders>
              <w:top w:val="single" w:sz="1" w:space="0" w:color="CCCCCC"/>
              <w:left w:val="single" w:sz="1" w:space="0" w:color="CCCCCC"/>
              <w:bottom w:val="single" w:sz="1" w:space="0" w:color="CCCCCC"/>
              <w:right w:val="single" w:sz="1" w:space="0" w:color="CCCCCC"/>
            </w:tcBorders>
          </w:tcPr>
          <w:p w14:paraId="072A98D4" w14:textId="63DA96DA" w:rsidR="002965B4" w:rsidRDefault="00000000">
            <w:pPr>
              <w:jc w:val="center"/>
            </w:pPr>
            <w:r>
              <w:rPr>
                <w:color w:val="1A1A1A"/>
                <w:sz w:val="20"/>
                <w:szCs w:val="20"/>
              </w:rPr>
              <w:t>#1, #4</w:t>
            </w:r>
          </w:p>
        </w:tc>
        <w:tc>
          <w:tcPr>
            <w:tcW w:w="1600" w:type="dxa"/>
            <w:tcBorders>
              <w:top w:val="single" w:sz="1" w:space="0" w:color="CCCCCC"/>
              <w:left w:val="single" w:sz="1" w:space="0" w:color="CCCCCC"/>
              <w:bottom w:val="single" w:sz="1" w:space="0" w:color="CCCCCC"/>
              <w:right w:val="single" w:sz="1" w:space="0" w:color="CCCCCC"/>
            </w:tcBorders>
          </w:tcPr>
          <w:p w14:paraId="0835AB8D" w14:textId="77777777" w:rsidR="002965B4" w:rsidRDefault="00000000">
            <w:pPr>
              <w:jc w:val="center"/>
            </w:pPr>
            <w:r>
              <w:rPr>
                <w:color w:val="1A1A1A"/>
                <w:sz w:val="20"/>
                <w:szCs w:val="20"/>
              </w:rPr>
              <w:t>Ch 1</w:t>
            </w:r>
          </w:p>
        </w:tc>
      </w:tr>
      <w:tr w:rsidR="002965B4" w14:paraId="7696FA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2123D906" w14:textId="77777777" w:rsidR="002965B4" w:rsidRDefault="00000000">
            <w:pPr>
              <w:jc w:val="center"/>
            </w:pPr>
            <w:r>
              <w:rPr>
                <w:b/>
                <w:bCs/>
                <w:color w:val="1A1A1A"/>
                <w:sz w:val="20"/>
                <w:szCs w:val="20"/>
              </w:rPr>
              <w:t>3</w:t>
            </w:r>
          </w:p>
        </w:tc>
        <w:tc>
          <w:tcPr>
            <w:tcW w:w="5260" w:type="dxa"/>
            <w:tcBorders>
              <w:top w:val="single" w:sz="1" w:space="0" w:color="CCCCCC"/>
              <w:left w:val="single" w:sz="1" w:space="0" w:color="CCCCCC"/>
              <w:bottom w:val="single" w:sz="1" w:space="0" w:color="CCCCCC"/>
              <w:right w:val="single" w:sz="1" w:space="0" w:color="CCCCCC"/>
            </w:tcBorders>
          </w:tcPr>
          <w:p w14:paraId="774970AD" w14:textId="77777777" w:rsidR="002965B4" w:rsidRDefault="00000000">
            <w:r>
              <w:rPr>
                <w:color w:val="1A1A1A"/>
                <w:sz w:val="20"/>
                <w:szCs w:val="20"/>
              </w:rPr>
              <w:t>Enhanced ASR metric and Entity Matching finding in Research Contributions</w:t>
            </w:r>
          </w:p>
        </w:tc>
        <w:tc>
          <w:tcPr>
            <w:tcW w:w="1600" w:type="dxa"/>
            <w:tcBorders>
              <w:top w:val="single" w:sz="1" w:space="0" w:color="CCCCCC"/>
              <w:left w:val="single" w:sz="1" w:space="0" w:color="CCCCCC"/>
              <w:bottom w:val="single" w:sz="1" w:space="0" w:color="CCCCCC"/>
              <w:right w:val="single" w:sz="1" w:space="0" w:color="CCCCCC"/>
            </w:tcBorders>
          </w:tcPr>
          <w:p w14:paraId="57749136" w14:textId="53DA14CB" w:rsidR="002965B4" w:rsidRDefault="00000000">
            <w:pPr>
              <w:jc w:val="center"/>
            </w:pPr>
            <w:r>
              <w:rPr>
                <w:color w:val="1A1A1A"/>
                <w:sz w:val="20"/>
                <w:szCs w:val="20"/>
              </w:rPr>
              <w:t>#1, #2</w:t>
            </w:r>
          </w:p>
        </w:tc>
        <w:tc>
          <w:tcPr>
            <w:tcW w:w="1600" w:type="dxa"/>
            <w:tcBorders>
              <w:top w:val="single" w:sz="1" w:space="0" w:color="CCCCCC"/>
              <w:left w:val="single" w:sz="1" w:space="0" w:color="CCCCCC"/>
              <w:bottom w:val="single" w:sz="1" w:space="0" w:color="CCCCCC"/>
              <w:right w:val="single" w:sz="1" w:space="0" w:color="CCCCCC"/>
            </w:tcBorders>
          </w:tcPr>
          <w:p w14:paraId="2DF3A1E8" w14:textId="77777777" w:rsidR="002965B4" w:rsidRDefault="00000000">
            <w:pPr>
              <w:jc w:val="center"/>
            </w:pPr>
            <w:r>
              <w:rPr>
                <w:color w:val="1A1A1A"/>
                <w:sz w:val="20"/>
                <w:szCs w:val="20"/>
              </w:rPr>
              <w:t>Ch 1</w:t>
            </w:r>
          </w:p>
        </w:tc>
      </w:tr>
      <w:tr w:rsidR="002965B4" w14:paraId="492C68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190A5EB6" w14:textId="77777777" w:rsidR="002965B4" w:rsidRDefault="00000000">
            <w:pPr>
              <w:jc w:val="center"/>
            </w:pPr>
            <w:r>
              <w:rPr>
                <w:b/>
                <w:bCs/>
                <w:color w:val="1A1A1A"/>
                <w:sz w:val="20"/>
                <w:szCs w:val="20"/>
              </w:rPr>
              <w:t>4</w:t>
            </w:r>
          </w:p>
        </w:tc>
        <w:tc>
          <w:tcPr>
            <w:tcW w:w="5260" w:type="dxa"/>
            <w:tcBorders>
              <w:top w:val="single" w:sz="1" w:space="0" w:color="CCCCCC"/>
              <w:left w:val="single" w:sz="1" w:space="0" w:color="CCCCCC"/>
              <w:bottom w:val="single" w:sz="1" w:space="0" w:color="CCCCCC"/>
              <w:right w:val="single" w:sz="1" w:space="0" w:color="CCCCCC"/>
            </w:tcBorders>
          </w:tcPr>
          <w:p w14:paraId="3DE0254A" w14:textId="77777777" w:rsidR="002965B4" w:rsidRDefault="00000000">
            <w:r>
              <w:rPr>
                <w:color w:val="1A1A1A"/>
                <w:sz w:val="20"/>
                <w:szCs w:val="20"/>
              </w:rPr>
              <w:t>Enhanced Industry Impact subsection</w:t>
            </w:r>
          </w:p>
        </w:tc>
        <w:tc>
          <w:tcPr>
            <w:tcW w:w="1600" w:type="dxa"/>
            <w:tcBorders>
              <w:top w:val="single" w:sz="1" w:space="0" w:color="CCCCCC"/>
              <w:left w:val="single" w:sz="1" w:space="0" w:color="CCCCCC"/>
              <w:bottom w:val="single" w:sz="1" w:space="0" w:color="CCCCCC"/>
              <w:right w:val="single" w:sz="1" w:space="0" w:color="CCCCCC"/>
            </w:tcBorders>
          </w:tcPr>
          <w:p w14:paraId="5B03520F" w14:textId="705C834A" w:rsidR="002965B4" w:rsidRDefault="00000000">
            <w:pPr>
              <w:jc w:val="center"/>
            </w:pPr>
            <w:r>
              <w:rPr>
                <w:color w:val="1A1A1A"/>
                <w:sz w:val="20"/>
                <w:szCs w:val="20"/>
              </w:rPr>
              <w:t>#1, #2</w:t>
            </w:r>
          </w:p>
        </w:tc>
        <w:tc>
          <w:tcPr>
            <w:tcW w:w="1600" w:type="dxa"/>
            <w:tcBorders>
              <w:top w:val="single" w:sz="1" w:space="0" w:color="CCCCCC"/>
              <w:left w:val="single" w:sz="1" w:space="0" w:color="CCCCCC"/>
              <w:bottom w:val="single" w:sz="1" w:space="0" w:color="CCCCCC"/>
              <w:right w:val="single" w:sz="1" w:space="0" w:color="CCCCCC"/>
            </w:tcBorders>
          </w:tcPr>
          <w:p w14:paraId="297002E9" w14:textId="77777777" w:rsidR="002965B4" w:rsidRDefault="00000000">
            <w:pPr>
              <w:jc w:val="center"/>
            </w:pPr>
            <w:r>
              <w:rPr>
                <w:color w:val="1A1A1A"/>
                <w:sz w:val="20"/>
                <w:szCs w:val="20"/>
              </w:rPr>
              <w:t>Ch 1</w:t>
            </w:r>
          </w:p>
        </w:tc>
      </w:tr>
      <w:tr w:rsidR="002965B4" w14:paraId="12131B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47C431D6" w14:textId="77777777" w:rsidR="002965B4" w:rsidRDefault="00000000">
            <w:pPr>
              <w:jc w:val="center"/>
            </w:pPr>
            <w:r>
              <w:rPr>
                <w:b/>
                <w:bCs/>
                <w:color w:val="1A1A1A"/>
                <w:sz w:val="20"/>
                <w:szCs w:val="20"/>
              </w:rPr>
              <w:t>5</w:t>
            </w:r>
          </w:p>
        </w:tc>
        <w:tc>
          <w:tcPr>
            <w:tcW w:w="5260" w:type="dxa"/>
            <w:tcBorders>
              <w:top w:val="single" w:sz="1" w:space="0" w:color="CCCCCC"/>
              <w:left w:val="single" w:sz="1" w:space="0" w:color="CCCCCC"/>
              <w:bottom w:val="single" w:sz="1" w:space="0" w:color="CCCCCC"/>
              <w:right w:val="single" w:sz="1" w:space="0" w:color="CCCCCC"/>
            </w:tcBorders>
          </w:tcPr>
          <w:p w14:paraId="4CB8B19D" w14:textId="77777777" w:rsidR="002965B4" w:rsidRDefault="00000000">
            <w:r>
              <w:rPr>
                <w:color w:val="1A1A1A"/>
                <w:sz w:val="20"/>
                <w:szCs w:val="20"/>
              </w:rPr>
              <w:t>Added Entity Matching section (5.4.3) with Literature Review update</w:t>
            </w:r>
          </w:p>
        </w:tc>
        <w:tc>
          <w:tcPr>
            <w:tcW w:w="1600" w:type="dxa"/>
            <w:tcBorders>
              <w:top w:val="single" w:sz="1" w:space="0" w:color="CCCCCC"/>
              <w:left w:val="single" w:sz="1" w:space="0" w:color="CCCCCC"/>
              <w:bottom w:val="single" w:sz="1" w:space="0" w:color="CCCCCC"/>
              <w:right w:val="single" w:sz="1" w:space="0" w:color="CCCCCC"/>
            </w:tcBorders>
          </w:tcPr>
          <w:p w14:paraId="6482A9D3" w14:textId="74C54AEB" w:rsidR="002965B4" w:rsidRDefault="00000000">
            <w:pPr>
              <w:jc w:val="center"/>
            </w:pPr>
            <w:r>
              <w:rPr>
                <w:color w:val="1A1A1A"/>
                <w:sz w:val="20"/>
                <w:szCs w:val="20"/>
              </w:rPr>
              <w:t>#1, #4</w:t>
            </w:r>
          </w:p>
        </w:tc>
        <w:tc>
          <w:tcPr>
            <w:tcW w:w="1600" w:type="dxa"/>
            <w:tcBorders>
              <w:top w:val="single" w:sz="1" w:space="0" w:color="CCCCCC"/>
              <w:left w:val="single" w:sz="1" w:space="0" w:color="CCCCCC"/>
              <w:bottom w:val="single" w:sz="1" w:space="0" w:color="CCCCCC"/>
              <w:right w:val="single" w:sz="1" w:space="0" w:color="CCCCCC"/>
            </w:tcBorders>
          </w:tcPr>
          <w:p w14:paraId="03BA0309" w14:textId="51FC17CE" w:rsidR="002965B4" w:rsidRDefault="00000000">
            <w:pPr>
              <w:jc w:val="center"/>
            </w:pPr>
            <w:r>
              <w:rPr>
                <w:color w:val="1A1A1A"/>
                <w:sz w:val="20"/>
                <w:szCs w:val="20"/>
              </w:rPr>
              <w:t>Ch 2, 5, 6, 1</w:t>
            </w:r>
          </w:p>
        </w:tc>
      </w:tr>
      <w:tr w:rsidR="002965B4" w14:paraId="6A7433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0218B608" w14:textId="77777777" w:rsidR="002965B4" w:rsidRDefault="00000000">
            <w:pPr>
              <w:jc w:val="center"/>
            </w:pPr>
            <w:r>
              <w:rPr>
                <w:b/>
                <w:bCs/>
                <w:color w:val="1A1A1A"/>
                <w:sz w:val="20"/>
                <w:szCs w:val="20"/>
              </w:rPr>
              <w:t>6</w:t>
            </w:r>
          </w:p>
        </w:tc>
        <w:tc>
          <w:tcPr>
            <w:tcW w:w="5260" w:type="dxa"/>
            <w:tcBorders>
              <w:top w:val="single" w:sz="1" w:space="0" w:color="CCCCCC"/>
              <w:left w:val="single" w:sz="1" w:space="0" w:color="CCCCCC"/>
              <w:bottom w:val="single" w:sz="1" w:space="0" w:color="CCCCCC"/>
              <w:right w:val="single" w:sz="1" w:space="0" w:color="CCCCCC"/>
            </w:tcBorders>
          </w:tcPr>
          <w:p w14:paraId="090BF4A7" w14:textId="77777777" w:rsidR="002965B4" w:rsidRDefault="00000000">
            <w:r>
              <w:rPr>
                <w:color w:val="1A1A1A"/>
                <w:sz w:val="20"/>
                <w:szCs w:val="20"/>
              </w:rPr>
              <w:t xml:space="preserve">Replaced </w:t>
            </w:r>
            <w:proofErr w:type="spellStart"/>
            <w:r>
              <w:rPr>
                <w:color w:val="1A1A1A"/>
                <w:sz w:val="20"/>
                <w:szCs w:val="20"/>
              </w:rPr>
              <w:t>EdgeAgent</w:t>
            </w:r>
            <w:proofErr w:type="spellEnd"/>
            <w:r>
              <w:rPr>
                <w:color w:val="1A1A1A"/>
                <w:sz w:val="20"/>
                <w:szCs w:val="20"/>
              </w:rPr>
              <w:t xml:space="preserve"> with comprehensive ASR section</w:t>
            </w:r>
          </w:p>
        </w:tc>
        <w:tc>
          <w:tcPr>
            <w:tcW w:w="1600" w:type="dxa"/>
            <w:tcBorders>
              <w:top w:val="single" w:sz="1" w:space="0" w:color="CCCCCC"/>
              <w:left w:val="single" w:sz="1" w:space="0" w:color="CCCCCC"/>
              <w:bottom w:val="single" w:sz="1" w:space="0" w:color="CCCCCC"/>
              <w:right w:val="single" w:sz="1" w:space="0" w:color="CCCCCC"/>
            </w:tcBorders>
          </w:tcPr>
          <w:p w14:paraId="2AB55070" w14:textId="4FD8032B" w:rsidR="002965B4" w:rsidRDefault="00000000">
            <w:pPr>
              <w:jc w:val="center"/>
            </w:pPr>
            <w:r>
              <w:rPr>
                <w:color w:val="1A1A1A"/>
                <w:sz w:val="20"/>
                <w:szCs w:val="20"/>
              </w:rPr>
              <w:t>#1, #2, #4</w:t>
            </w:r>
          </w:p>
        </w:tc>
        <w:tc>
          <w:tcPr>
            <w:tcW w:w="1600" w:type="dxa"/>
            <w:tcBorders>
              <w:top w:val="single" w:sz="1" w:space="0" w:color="CCCCCC"/>
              <w:left w:val="single" w:sz="1" w:space="0" w:color="CCCCCC"/>
              <w:bottom w:val="single" w:sz="1" w:space="0" w:color="CCCCCC"/>
              <w:right w:val="single" w:sz="1" w:space="0" w:color="CCCCCC"/>
            </w:tcBorders>
          </w:tcPr>
          <w:p w14:paraId="08DB91C7" w14:textId="27FC5B66" w:rsidR="002965B4" w:rsidRDefault="00000000">
            <w:pPr>
              <w:jc w:val="center"/>
            </w:pPr>
            <w:r>
              <w:rPr>
                <w:color w:val="1A1A1A"/>
                <w:sz w:val="20"/>
                <w:szCs w:val="20"/>
              </w:rPr>
              <w:t>Ch 4, 6</w:t>
            </w:r>
          </w:p>
        </w:tc>
      </w:tr>
      <w:tr w:rsidR="002965B4" w14:paraId="5F5C7C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06DF3067" w14:textId="77777777" w:rsidR="002965B4" w:rsidRDefault="00000000">
            <w:pPr>
              <w:jc w:val="center"/>
            </w:pPr>
            <w:r>
              <w:rPr>
                <w:b/>
                <w:bCs/>
                <w:color w:val="1A1A1A"/>
                <w:sz w:val="20"/>
                <w:szCs w:val="20"/>
              </w:rPr>
              <w:t>7</w:t>
            </w:r>
          </w:p>
        </w:tc>
        <w:tc>
          <w:tcPr>
            <w:tcW w:w="5260" w:type="dxa"/>
            <w:tcBorders>
              <w:top w:val="single" w:sz="1" w:space="0" w:color="CCCCCC"/>
              <w:left w:val="single" w:sz="1" w:space="0" w:color="CCCCCC"/>
              <w:bottom w:val="single" w:sz="1" w:space="0" w:color="CCCCCC"/>
              <w:right w:val="single" w:sz="1" w:space="0" w:color="CCCCCC"/>
            </w:tcBorders>
          </w:tcPr>
          <w:p w14:paraId="3B508AE1" w14:textId="77777777" w:rsidR="002965B4" w:rsidRDefault="00000000">
            <w:r>
              <w:rPr>
                <w:color w:val="1A1A1A"/>
                <w:sz w:val="20"/>
                <w:szCs w:val="20"/>
              </w:rPr>
              <w:t xml:space="preserve">Added </w:t>
            </w:r>
            <w:proofErr w:type="spellStart"/>
            <w:r>
              <w:rPr>
                <w:color w:val="1A1A1A"/>
                <w:sz w:val="20"/>
                <w:szCs w:val="20"/>
              </w:rPr>
              <w:t>ConvPayMAS</w:t>
            </w:r>
            <w:proofErr w:type="spellEnd"/>
            <w:r>
              <w:rPr>
                <w:color w:val="1A1A1A"/>
                <w:sz w:val="20"/>
                <w:szCs w:val="20"/>
              </w:rPr>
              <w:t xml:space="preserve"> and Enterprise Evaluation Framework</w:t>
            </w:r>
          </w:p>
        </w:tc>
        <w:tc>
          <w:tcPr>
            <w:tcW w:w="1600" w:type="dxa"/>
            <w:tcBorders>
              <w:top w:val="single" w:sz="1" w:space="0" w:color="CCCCCC"/>
              <w:left w:val="single" w:sz="1" w:space="0" w:color="CCCCCC"/>
              <w:bottom w:val="single" w:sz="1" w:space="0" w:color="CCCCCC"/>
              <w:right w:val="single" w:sz="1" w:space="0" w:color="CCCCCC"/>
            </w:tcBorders>
          </w:tcPr>
          <w:p w14:paraId="1BEC9AB4" w14:textId="2CFE74BE" w:rsidR="002965B4" w:rsidRDefault="00000000">
            <w:pPr>
              <w:jc w:val="center"/>
            </w:pPr>
            <w:r>
              <w:rPr>
                <w:color w:val="1A1A1A"/>
                <w:sz w:val="20"/>
                <w:szCs w:val="20"/>
              </w:rPr>
              <w:t>#1, #2</w:t>
            </w:r>
          </w:p>
        </w:tc>
        <w:tc>
          <w:tcPr>
            <w:tcW w:w="1600" w:type="dxa"/>
            <w:tcBorders>
              <w:top w:val="single" w:sz="1" w:space="0" w:color="CCCCCC"/>
              <w:left w:val="single" w:sz="1" w:space="0" w:color="CCCCCC"/>
              <w:bottom w:val="single" w:sz="1" w:space="0" w:color="CCCCCC"/>
              <w:right w:val="single" w:sz="1" w:space="0" w:color="CCCCCC"/>
            </w:tcBorders>
          </w:tcPr>
          <w:p w14:paraId="5EF7B15F" w14:textId="77777777" w:rsidR="002965B4" w:rsidRDefault="00000000">
            <w:pPr>
              <w:jc w:val="center"/>
            </w:pPr>
            <w:r>
              <w:rPr>
                <w:color w:val="1A1A1A"/>
                <w:sz w:val="20"/>
                <w:szCs w:val="20"/>
              </w:rPr>
              <w:t>Ch 4, 6, bib</w:t>
            </w:r>
          </w:p>
        </w:tc>
      </w:tr>
      <w:tr w:rsidR="002965B4" w14:paraId="43B7BB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7A1C5A2B" w14:textId="77777777" w:rsidR="002965B4" w:rsidRDefault="00000000">
            <w:pPr>
              <w:jc w:val="center"/>
            </w:pPr>
            <w:r>
              <w:rPr>
                <w:b/>
                <w:bCs/>
                <w:color w:val="1A1A1A"/>
                <w:sz w:val="20"/>
                <w:szCs w:val="20"/>
              </w:rPr>
              <w:t>8</w:t>
            </w:r>
          </w:p>
        </w:tc>
        <w:tc>
          <w:tcPr>
            <w:tcW w:w="5260" w:type="dxa"/>
            <w:tcBorders>
              <w:top w:val="single" w:sz="1" w:space="0" w:color="CCCCCC"/>
              <w:left w:val="single" w:sz="1" w:space="0" w:color="CCCCCC"/>
              <w:bottom w:val="single" w:sz="1" w:space="0" w:color="CCCCCC"/>
              <w:right w:val="single" w:sz="1" w:space="0" w:color="CCCCCC"/>
            </w:tcBorders>
          </w:tcPr>
          <w:p w14:paraId="2CBC2805" w14:textId="77777777" w:rsidR="002965B4" w:rsidRDefault="00000000">
            <w:r>
              <w:rPr>
                <w:color w:val="1A1A1A"/>
                <w:sz w:val="20"/>
                <w:szCs w:val="20"/>
              </w:rPr>
              <w:t>Cross-file consistency (counts, metrics, stale refs)</w:t>
            </w:r>
          </w:p>
        </w:tc>
        <w:tc>
          <w:tcPr>
            <w:tcW w:w="1600" w:type="dxa"/>
            <w:tcBorders>
              <w:top w:val="single" w:sz="1" w:space="0" w:color="CCCCCC"/>
              <w:left w:val="single" w:sz="1" w:space="0" w:color="CCCCCC"/>
              <w:bottom w:val="single" w:sz="1" w:space="0" w:color="CCCCCC"/>
              <w:right w:val="single" w:sz="1" w:space="0" w:color="CCCCCC"/>
            </w:tcBorders>
          </w:tcPr>
          <w:p w14:paraId="49582028" w14:textId="77777777" w:rsidR="002965B4" w:rsidRDefault="00000000">
            <w:pPr>
              <w:jc w:val="center"/>
            </w:pPr>
            <w:r>
              <w:rPr>
                <w:color w:val="1A1A1A"/>
                <w:sz w:val="20"/>
                <w:szCs w:val="20"/>
              </w:rPr>
              <w:t>General</w:t>
            </w:r>
          </w:p>
        </w:tc>
        <w:tc>
          <w:tcPr>
            <w:tcW w:w="1600" w:type="dxa"/>
            <w:tcBorders>
              <w:top w:val="single" w:sz="1" w:space="0" w:color="CCCCCC"/>
              <w:left w:val="single" w:sz="1" w:space="0" w:color="CCCCCC"/>
              <w:bottom w:val="single" w:sz="1" w:space="0" w:color="CCCCCC"/>
              <w:right w:val="single" w:sz="1" w:space="0" w:color="CCCCCC"/>
            </w:tcBorders>
          </w:tcPr>
          <w:p w14:paraId="54D67E4A" w14:textId="77777777" w:rsidR="002965B4" w:rsidRDefault="00000000">
            <w:pPr>
              <w:jc w:val="center"/>
            </w:pPr>
            <w:r>
              <w:rPr>
                <w:color w:val="1A1A1A"/>
                <w:sz w:val="20"/>
                <w:szCs w:val="20"/>
              </w:rPr>
              <w:t>Ch 4, 6, abstract</w:t>
            </w:r>
          </w:p>
        </w:tc>
      </w:tr>
      <w:tr w:rsidR="002965B4" w14:paraId="5D9AAF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7AB2DFD3" w14:textId="77777777" w:rsidR="002965B4" w:rsidRDefault="00000000">
            <w:pPr>
              <w:jc w:val="center"/>
            </w:pPr>
            <w:r>
              <w:rPr>
                <w:b/>
                <w:bCs/>
                <w:color w:val="1A1A1A"/>
                <w:sz w:val="20"/>
                <w:szCs w:val="20"/>
              </w:rPr>
              <w:t>9</w:t>
            </w:r>
          </w:p>
        </w:tc>
        <w:tc>
          <w:tcPr>
            <w:tcW w:w="5260" w:type="dxa"/>
            <w:tcBorders>
              <w:top w:val="single" w:sz="1" w:space="0" w:color="CCCCCC"/>
              <w:left w:val="single" w:sz="1" w:space="0" w:color="CCCCCC"/>
              <w:bottom w:val="single" w:sz="1" w:space="0" w:color="CCCCCC"/>
              <w:right w:val="single" w:sz="1" w:space="0" w:color="CCCCCC"/>
            </w:tcBorders>
          </w:tcPr>
          <w:p w14:paraId="3B418D7A" w14:textId="34559946" w:rsidR="002965B4" w:rsidRDefault="00000000">
            <w:proofErr w:type="spellStart"/>
            <w:r>
              <w:rPr>
                <w:color w:val="1A1A1A"/>
                <w:sz w:val="20"/>
                <w:szCs w:val="20"/>
              </w:rPr>
              <w:t>Generalised</w:t>
            </w:r>
            <w:proofErr w:type="spellEnd"/>
            <w:r>
              <w:rPr>
                <w:color w:val="1A1A1A"/>
                <w:sz w:val="20"/>
                <w:szCs w:val="20"/>
              </w:rPr>
              <w:t xml:space="preserve"> error taxonomy</w:t>
            </w:r>
          </w:p>
        </w:tc>
        <w:tc>
          <w:tcPr>
            <w:tcW w:w="1600" w:type="dxa"/>
            <w:tcBorders>
              <w:top w:val="single" w:sz="1" w:space="0" w:color="CCCCCC"/>
              <w:left w:val="single" w:sz="1" w:space="0" w:color="CCCCCC"/>
              <w:bottom w:val="single" w:sz="1" w:space="0" w:color="CCCCCC"/>
              <w:right w:val="single" w:sz="1" w:space="0" w:color="CCCCCC"/>
            </w:tcBorders>
          </w:tcPr>
          <w:p w14:paraId="5CDD437B" w14:textId="77777777" w:rsidR="002965B4" w:rsidRDefault="00000000">
            <w:pPr>
              <w:jc w:val="center"/>
            </w:pPr>
            <w:r>
              <w:rPr>
                <w:color w:val="1A1A1A"/>
                <w:sz w:val="20"/>
                <w:szCs w:val="20"/>
              </w:rPr>
              <w:t>#2, #3</w:t>
            </w:r>
          </w:p>
        </w:tc>
        <w:tc>
          <w:tcPr>
            <w:tcW w:w="1600" w:type="dxa"/>
            <w:tcBorders>
              <w:top w:val="single" w:sz="1" w:space="0" w:color="CCCCCC"/>
              <w:left w:val="single" w:sz="1" w:space="0" w:color="CCCCCC"/>
              <w:bottom w:val="single" w:sz="1" w:space="0" w:color="CCCCCC"/>
              <w:right w:val="single" w:sz="1" w:space="0" w:color="CCCCCC"/>
            </w:tcBorders>
          </w:tcPr>
          <w:p w14:paraId="2F72AE6F" w14:textId="77777777" w:rsidR="002965B4" w:rsidRDefault="00000000">
            <w:pPr>
              <w:jc w:val="center"/>
            </w:pPr>
            <w:r>
              <w:rPr>
                <w:color w:val="1A1A1A"/>
                <w:sz w:val="20"/>
                <w:szCs w:val="20"/>
              </w:rPr>
              <w:t>Ch 1–6, App A, abstract</w:t>
            </w:r>
          </w:p>
        </w:tc>
      </w:tr>
      <w:tr w:rsidR="002965B4" w14:paraId="4560DB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Pr>
          <w:p w14:paraId="12500B54" w14:textId="77777777" w:rsidR="002965B4" w:rsidRDefault="00000000">
            <w:pPr>
              <w:jc w:val="center"/>
            </w:pPr>
            <w:r>
              <w:rPr>
                <w:b/>
                <w:bCs/>
                <w:color w:val="1A1A1A"/>
                <w:sz w:val="20"/>
                <w:szCs w:val="20"/>
              </w:rPr>
              <w:t>10</w:t>
            </w:r>
          </w:p>
        </w:tc>
        <w:tc>
          <w:tcPr>
            <w:tcW w:w="5260" w:type="dxa"/>
            <w:tcBorders>
              <w:top w:val="single" w:sz="1" w:space="0" w:color="CCCCCC"/>
              <w:left w:val="single" w:sz="1" w:space="0" w:color="CCCCCC"/>
              <w:bottom w:val="single" w:sz="1" w:space="0" w:color="CCCCCC"/>
              <w:right w:val="single" w:sz="1" w:space="0" w:color="CCCCCC"/>
            </w:tcBorders>
          </w:tcPr>
          <w:p w14:paraId="23CF6192" w14:textId="77777777" w:rsidR="002965B4" w:rsidRDefault="00000000">
            <w:r>
              <w:rPr>
                <w:color w:val="1A1A1A"/>
                <w:sz w:val="20"/>
                <w:szCs w:val="20"/>
              </w:rPr>
              <w:t>Updated ASR table; open-weight dominance callout</w:t>
            </w:r>
          </w:p>
        </w:tc>
        <w:tc>
          <w:tcPr>
            <w:tcW w:w="1600" w:type="dxa"/>
            <w:tcBorders>
              <w:top w:val="single" w:sz="1" w:space="0" w:color="CCCCCC"/>
              <w:left w:val="single" w:sz="1" w:space="0" w:color="CCCCCC"/>
              <w:bottom w:val="single" w:sz="1" w:space="0" w:color="CCCCCC"/>
              <w:right w:val="single" w:sz="1" w:space="0" w:color="CCCCCC"/>
            </w:tcBorders>
          </w:tcPr>
          <w:p w14:paraId="65DEDF86" w14:textId="77777777" w:rsidR="002965B4" w:rsidRDefault="00000000">
            <w:pPr>
              <w:jc w:val="center"/>
            </w:pPr>
            <w:r>
              <w:rPr>
                <w:color w:val="1A1A1A"/>
                <w:sz w:val="20"/>
                <w:szCs w:val="20"/>
              </w:rPr>
              <w:t>#1a, #2</w:t>
            </w:r>
          </w:p>
        </w:tc>
        <w:tc>
          <w:tcPr>
            <w:tcW w:w="1600" w:type="dxa"/>
            <w:tcBorders>
              <w:top w:val="single" w:sz="1" w:space="0" w:color="CCCCCC"/>
              <w:left w:val="single" w:sz="1" w:space="0" w:color="CCCCCC"/>
              <w:bottom w:val="single" w:sz="1" w:space="0" w:color="CCCCCC"/>
              <w:right w:val="single" w:sz="1" w:space="0" w:color="CCCCCC"/>
            </w:tcBorders>
          </w:tcPr>
          <w:p w14:paraId="32320E71" w14:textId="77777777" w:rsidR="002965B4" w:rsidRDefault="00000000">
            <w:pPr>
              <w:jc w:val="center"/>
            </w:pPr>
            <w:r>
              <w:rPr>
                <w:color w:val="1A1A1A"/>
                <w:sz w:val="20"/>
                <w:szCs w:val="20"/>
              </w:rPr>
              <w:t>Ch 1, 4</w:t>
            </w:r>
          </w:p>
        </w:tc>
      </w:tr>
    </w:tbl>
    <w:p w14:paraId="1B86C978" w14:textId="5D236B50" w:rsidR="002965B4" w:rsidRDefault="002965B4">
      <w:pPr>
        <w:spacing w:after="120" w:line="276" w:lineRule="auto"/>
      </w:pPr>
    </w:p>
    <w:sectPr w:rsidR="002965B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799C0" w14:textId="77777777" w:rsidR="006A2E8D" w:rsidRDefault="006A2E8D">
      <w:r>
        <w:separator/>
      </w:r>
    </w:p>
  </w:endnote>
  <w:endnote w:type="continuationSeparator" w:id="0">
    <w:p w14:paraId="671BA85F" w14:textId="77777777" w:rsidR="006A2E8D" w:rsidRDefault="006A2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F650" w14:textId="77777777" w:rsidR="002965B4" w:rsidRDefault="00000000">
    <w:pPr>
      <w:pBdr>
        <w:top w:val="single" w:sz="4" w:space="1" w:color="CCCCCC"/>
      </w:pBdr>
      <w:spacing w:before="6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03C6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CA3A7" w14:textId="77777777" w:rsidR="006A2E8D" w:rsidRDefault="006A2E8D">
      <w:r>
        <w:separator/>
      </w:r>
    </w:p>
  </w:footnote>
  <w:footnote w:type="continuationSeparator" w:id="0">
    <w:p w14:paraId="123BFABB" w14:textId="77777777" w:rsidR="006A2E8D" w:rsidRDefault="006A2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69F5" w14:textId="77777777" w:rsidR="002965B4" w:rsidRDefault="00000000">
    <w:pPr>
      <w:pBdr>
        <w:bottom w:val="single" w:sz="6" w:space="1" w:color="2E5090"/>
      </w:pBdr>
    </w:pPr>
    <w:r>
      <w:rPr>
        <w:i/>
        <w:iCs/>
        <w:color w:val="666666"/>
        <w:sz w:val="18"/>
        <w:szCs w:val="18"/>
      </w:rPr>
      <w:t>Response to Examiner’s Comments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5490"/>
    <w:multiLevelType w:val="multilevel"/>
    <w:tmpl w:val="9CC4A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32EF1"/>
    <w:multiLevelType w:val="hybridMultilevel"/>
    <w:tmpl w:val="FE408DAA"/>
    <w:lvl w:ilvl="0" w:tplc="960820AE">
      <w:start w:val="1"/>
      <w:numFmt w:val="lowerLetter"/>
      <w:lvlText w:val="(%1)"/>
      <w:lvlJc w:val="left"/>
      <w:pPr>
        <w:ind w:left="720" w:hanging="360"/>
      </w:pPr>
      <w:rPr>
        <w:rFonts w:hint="default"/>
        <w:color w:val="1A1A1A"/>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92A55"/>
    <w:multiLevelType w:val="hybridMultilevel"/>
    <w:tmpl w:val="509830E0"/>
    <w:lvl w:ilvl="0" w:tplc="960820AE">
      <w:start w:val="1"/>
      <w:numFmt w:val="lowerLetter"/>
      <w:lvlText w:val="(%1)"/>
      <w:lvlJc w:val="left"/>
      <w:pPr>
        <w:ind w:left="720" w:hanging="360"/>
      </w:pPr>
      <w:rPr>
        <w:rFonts w:hint="default"/>
        <w:color w:val="1A1A1A"/>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5457E"/>
    <w:multiLevelType w:val="hybridMultilevel"/>
    <w:tmpl w:val="6248E0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B2C57"/>
    <w:multiLevelType w:val="hybridMultilevel"/>
    <w:tmpl w:val="A02E8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764CF"/>
    <w:multiLevelType w:val="hybridMultilevel"/>
    <w:tmpl w:val="CB840F40"/>
    <w:lvl w:ilvl="0" w:tplc="04090001">
      <w:start w:val="1"/>
      <w:numFmt w:val="bullet"/>
      <w:lvlText w:val=""/>
      <w:lvlJc w:val="left"/>
      <w:pPr>
        <w:ind w:left="720" w:hanging="360"/>
      </w:pPr>
      <w:rPr>
        <w:rFonts w:ascii="Symbol" w:hAnsi="Symbol" w:hint="default"/>
        <w:color w:val="1A1A1A"/>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E80BA6"/>
    <w:multiLevelType w:val="hybridMultilevel"/>
    <w:tmpl w:val="141276FC"/>
    <w:lvl w:ilvl="0" w:tplc="27D47B7A">
      <w:start w:val="1"/>
      <w:numFmt w:val="decimal"/>
      <w:lvlText w:val="%1."/>
      <w:lvlJc w:val="left"/>
      <w:pPr>
        <w:ind w:left="720" w:hanging="360"/>
      </w:pPr>
    </w:lvl>
    <w:lvl w:ilvl="1" w:tplc="6B004542">
      <w:numFmt w:val="decimal"/>
      <w:lvlText w:val=""/>
      <w:lvlJc w:val="left"/>
    </w:lvl>
    <w:lvl w:ilvl="2" w:tplc="76983B84">
      <w:numFmt w:val="decimal"/>
      <w:lvlText w:val=""/>
      <w:lvlJc w:val="left"/>
    </w:lvl>
    <w:lvl w:ilvl="3" w:tplc="91BC4794">
      <w:numFmt w:val="decimal"/>
      <w:lvlText w:val=""/>
      <w:lvlJc w:val="left"/>
    </w:lvl>
    <w:lvl w:ilvl="4" w:tplc="7F7E8ACC">
      <w:numFmt w:val="decimal"/>
      <w:lvlText w:val=""/>
      <w:lvlJc w:val="left"/>
    </w:lvl>
    <w:lvl w:ilvl="5" w:tplc="13E4642C">
      <w:numFmt w:val="decimal"/>
      <w:lvlText w:val=""/>
      <w:lvlJc w:val="left"/>
    </w:lvl>
    <w:lvl w:ilvl="6" w:tplc="4BB49AE0">
      <w:numFmt w:val="decimal"/>
      <w:lvlText w:val=""/>
      <w:lvlJc w:val="left"/>
    </w:lvl>
    <w:lvl w:ilvl="7" w:tplc="F20AF30A">
      <w:numFmt w:val="decimal"/>
      <w:lvlText w:val=""/>
      <w:lvlJc w:val="left"/>
    </w:lvl>
    <w:lvl w:ilvl="8" w:tplc="857EBF0C">
      <w:numFmt w:val="decimal"/>
      <w:lvlText w:val=""/>
      <w:lvlJc w:val="left"/>
    </w:lvl>
  </w:abstractNum>
  <w:abstractNum w:abstractNumId="7" w15:restartNumberingAfterBreak="0">
    <w:nsid w:val="26B40B76"/>
    <w:multiLevelType w:val="hybridMultilevel"/>
    <w:tmpl w:val="C04CC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E07B5"/>
    <w:multiLevelType w:val="hybridMultilevel"/>
    <w:tmpl w:val="A298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93164"/>
    <w:multiLevelType w:val="hybridMultilevel"/>
    <w:tmpl w:val="32962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F53ACF"/>
    <w:multiLevelType w:val="hybridMultilevel"/>
    <w:tmpl w:val="D18C7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ED2712"/>
    <w:multiLevelType w:val="hybridMultilevel"/>
    <w:tmpl w:val="3594E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877147"/>
    <w:multiLevelType w:val="hybridMultilevel"/>
    <w:tmpl w:val="0C0A3656"/>
    <w:lvl w:ilvl="0" w:tplc="0409000F">
      <w:start w:val="1"/>
      <w:numFmt w:val="decimal"/>
      <w:lvlText w:val="%1."/>
      <w:lvlJc w:val="left"/>
      <w:pPr>
        <w:ind w:left="720" w:hanging="360"/>
      </w:pPr>
      <w:rPr>
        <w:rFonts w:hint="default"/>
        <w:color w:val="1A1A1A"/>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7224EF"/>
    <w:multiLevelType w:val="hybridMultilevel"/>
    <w:tmpl w:val="1DEADAF0"/>
    <w:lvl w:ilvl="0" w:tplc="C31EC680">
      <w:start w:val="1"/>
      <w:numFmt w:val="bullet"/>
      <w:lvlText w:val="●"/>
      <w:lvlJc w:val="left"/>
      <w:pPr>
        <w:ind w:left="720" w:hanging="360"/>
      </w:pPr>
    </w:lvl>
    <w:lvl w:ilvl="1" w:tplc="B4B64BD6">
      <w:start w:val="1"/>
      <w:numFmt w:val="bullet"/>
      <w:lvlText w:val="○"/>
      <w:lvlJc w:val="left"/>
      <w:pPr>
        <w:ind w:left="1440" w:hanging="360"/>
      </w:pPr>
    </w:lvl>
    <w:lvl w:ilvl="2" w:tplc="D4EAAC9E">
      <w:start w:val="1"/>
      <w:numFmt w:val="bullet"/>
      <w:lvlText w:val="■"/>
      <w:lvlJc w:val="left"/>
      <w:pPr>
        <w:ind w:left="2160" w:hanging="360"/>
      </w:pPr>
    </w:lvl>
    <w:lvl w:ilvl="3" w:tplc="B97EA83A">
      <w:start w:val="1"/>
      <w:numFmt w:val="bullet"/>
      <w:lvlText w:val="●"/>
      <w:lvlJc w:val="left"/>
      <w:pPr>
        <w:ind w:left="2880" w:hanging="360"/>
      </w:pPr>
    </w:lvl>
    <w:lvl w:ilvl="4" w:tplc="4AAC2AA2">
      <w:start w:val="1"/>
      <w:numFmt w:val="bullet"/>
      <w:lvlText w:val="○"/>
      <w:lvlJc w:val="left"/>
      <w:pPr>
        <w:ind w:left="3600" w:hanging="360"/>
      </w:pPr>
    </w:lvl>
    <w:lvl w:ilvl="5" w:tplc="CBFC3D76">
      <w:start w:val="1"/>
      <w:numFmt w:val="bullet"/>
      <w:lvlText w:val="■"/>
      <w:lvlJc w:val="left"/>
      <w:pPr>
        <w:ind w:left="4320" w:hanging="360"/>
      </w:pPr>
    </w:lvl>
    <w:lvl w:ilvl="6" w:tplc="376467C8">
      <w:start w:val="1"/>
      <w:numFmt w:val="bullet"/>
      <w:lvlText w:val="●"/>
      <w:lvlJc w:val="left"/>
      <w:pPr>
        <w:ind w:left="5040" w:hanging="360"/>
      </w:pPr>
    </w:lvl>
    <w:lvl w:ilvl="7" w:tplc="CF4C4F14">
      <w:start w:val="1"/>
      <w:numFmt w:val="bullet"/>
      <w:lvlText w:val="●"/>
      <w:lvlJc w:val="left"/>
      <w:pPr>
        <w:ind w:left="5760" w:hanging="360"/>
      </w:pPr>
    </w:lvl>
    <w:lvl w:ilvl="8" w:tplc="267268B8">
      <w:start w:val="1"/>
      <w:numFmt w:val="bullet"/>
      <w:lvlText w:val="●"/>
      <w:lvlJc w:val="left"/>
      <w:pPr>
        <w:ind w:left="6480" w:hanging="360"/>
      </w:pPr>
    </w:lvl>
  </w:abstractNum>
  <w:num w:numId="1" w16cid:durableId="695275753">
    <w:abstractNumId w:val="13"/>
    <w:lvlOverride w:ilvl="0">
      <w:startOverride w:val="1"/>
    </w:lvlOverride>
  </w:num>
  <w:num w:numId="2" w16cid:durableId="513227930">
    <w:abstractNumId w:val="7"/>
  </w:num>
  <w:num w:numId="3" w16cid:durableId="1604923920">
    <w:abstractNumId w:val="1"/>
  </w:num>
  <w:num w:numId="4" w16cid:durableId="1064329682">
    <w:abstractNumId w:val="2"/>
  </w:num>
  <w:num w:numId="5" w16cid:durableId="2010013064">
    <w:abstractNumId w:val="12"/>
  </w:num>
  <w:num w:numId="6" w16cid:durableId="552425109">
    <w:abstractNumId w:val="5"/>
  </w:num>
  <w:num w:numId="7" w16cid:durableId="1284799626">
    <w:abstractNumId w:val="3"/>
  </w:num>
  <w:num w:numId="8" w16cid:durableId="249506138">
    <w:abstractNumId w:val="4"/>
  </w:num>
  <w:num w:numId="9" w16cid:durableId="349063551">
    <w:abstractNumId w:val="11"/>
  </w:num>
  <w:num w:numId="10" w16cid:durableId="1810587696">
    <w:abstractNumId w:val="10"/>
  </w:num>
  <w:num w:numId="11" w16cid:durableId="888690885">
    <w:abstractNumId w:val="0"/>
  </w:num>
  <w:num w:numId="12" w16cid:durableId="97484416">
    <w:abstractNumId w:val="9"/>
  </w:num>
  <w:num w:numId="13" w16cid:durableId="11892971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5B4"/>
    <w:rsid w:val="001B6888"/>
    <w:rsid w:val="002965B4"/>
    <w:rsid w:val="00303C68"/>
    <w:rsid w:val="00353DA2"/>
    <w:rsid w:val="00467B80"/>
    <w:rsid w:val="004B211E"/>
    <w:rsid w:val="00651CD8"/>
    <w:rsid w:val="006A2E8D"/>
    <w:rsid w:val="00DF474F"/>
    <w:rsid w:val="00E0088C"/>
    <w:rsid w:val="00F53F27"/>
    <w:rsid w:val="00F81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1E79B8"/>
  <w15:docId w15:val="{2D1927AA-C099-4D4B-8A85-E834578E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32"/>
      <w:szCs w:val="32"/>
    </w:rPr>
  </w:style>
  <w:style w:type="paragraph" w:styleId="Heading2">
    <w:name w:val="heading 2"/>
    <w:uiPriority w:val="9"/>
    <w:semiHidden/>
    <w:unhideWhenUsed/>
    <w:qFormat/>
    <w:pPr>
      <w:spacing w:before="240" w:after="180"/>
      <w:outlineLvl w:val="1"/>
    </w:pPr>
    <w:rPr>
      <w:b/>
      <w:bCs/>
      <w:color w:val="2E50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1343</Words>
  <Characters>8479</Characters>
  <Application>Microsoft Office Word</Application>
  <DocSecurity>0</DocSecurity>
  <Lines>197</Lines>
  <Paragraphs>99</Paragraphs>
  <ScaleCrop>false</ScaleCrop>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Donghao Huang</cp:lastModifiedBy>
  <cp:revision>11</cp:revision>
  <dcterms:created xsi:type="dcterms:W3CDTF">2026-04-08T11:10:00Z</dcterms:created>
  <dcterms:modified xsi:type="dcterms:W3CDTF">2026-04-08T11:23:00Z</dcterms:modified>
</cp:coreProperties>
</file>