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使用TCN-CRF模型实现命名实体识别</w:t>
      </w:r>
    </w:p>
    <w:p>
      <w:pPr>
        <w:jc w:val="right"/>
        <w:rPr>
          <w:rFonts w:hint="eastAsia"/>
          <w:lang w:val="en-US" w:eastAsia="zh-CN"/>
        </w:rPr>
      </w:pPr>
      <w:r>
        <w:rPr>
          <w:rFonts w:hint="eastAsia"/>
          <w:lang w:val="en-US" w:eastAsia="zh-CN"/>
        </w:rPr>
        <w:t>胡安文 2017104077</w:t>
      </w:r>
    </w:p>
    <w:p>
      <w:pPr>
        <w:numPr>
          <w:ilvl w:val="0"/>
          <w:numId w:val="1"/>
        </w:numPr>
        <w:jc w:val="both"/>
        <w:rPr>
          <w:rFonts w:hint="eastAsia"/>
          <w:b/>
          <w:bCs/>
          <w:sz w:val="28"/>
          <w:szCs w:val="28"/>
          <w:lang w:val="en-US" w:eastAsia="zh-CN"/>
        </w:rPr>
      </w:pPr>
      <w:r>
        <w:rPr>
          <w:rFonts w:hint="eastAsia"/>
          <w:b/>
          <w:bCs/>
          <w:sz w:val="28"/>
          <w:szCs w:val="28"/>
          <w:lang w:val="en-US" w:eastAsia="zh-CN"/>
        </w:rPr>
        <w:t>绪论及相关工作</w:t>
      </w:r>
    </w:p>
    <w:p>
      <w:pPr>
        <w:numPr>
          <w:ilvl w:val="0"/>
          <w:numId w:val="0"/>
        </w:numPr>
        <w:ind w:firstLine="420" w:firstLineChars="0"/>
        <w:jc w:val="both"/>
        <w:rPr>
          <w:rFonts w:hint="eastAsia"/>
          <w:lang w:val="en-US" w:eastAsia="zh-CN"/>
        </w:rPr>
      </w:pPr>
      <w:r>
        <w:rPr>
          <w:rFonts w:hint="eastAsia"/>
          <w:lang w:val="en-US" w:eastAsia="zh-CN"/>
        </w:rPr>
        <w:t>命名实体识别（NER,Named Entity Recognition）是自然语言处理中的一项基本而且重要的工作，是很多任务的基础，如对话系统，信息检索，机器翻译等。这个任务目的在于将文本中的词判定为限定的实体类别或者判定为非实体。常用的实体类别包括人名、地名、机构名等。</w:t>
      </w:r>
    </w:p>
    <w:p>
      <w:pPr>
        <w:numPr>
          <w:ilvl w:val="0"/>
          <w:numId w:val="0"/>
        </w:numPr>
        <w:ind w:firstLine="420" w:firstLineChars="0"/>
        <w:jc w:val="both"/>
        <w:rPr>
          <w:rFonts w:hint="eastAsia"/>
          <w:lang w:val="en-US" w:eastAsia="zh-CN"/>
        </w:rPr>
      </w:pPr>
      <w:r>
        <w:rPr>
          <w:rFonts w:hint="eastAsia"/>
          <w:lang w:val="en-US" w:eastAsia="zh-CN"/>
        </w:rPr>
        <w:t>在过去的十几年中，命名实体识别领域有基于知识工程的方法，也有HMM(Hidden Markov Model)、CRF（Conditional Random Field）等概率图模型。近几年，由于神经网络的兴起，LSTM（Long Short-Term Memory）广泛应用于序列模型中，在命名实体识别领域也取得了非常好的效果。但是由于LSTM的结构特性，每一时刻的输入与上一个时刻的输出相关，使得这种结构在处理速度上比不上CNN(Convolution Neural Network)，也无法发挥GPU的优势。因此，越来越多的研究关注于如何降CNN的结构有效的应用到序列模型中，使之达到与LSTM相同的效果，同时可以极大的提高运行速度。</w:t>
      </w:r>
    </w:p>
    <w:p>
      <w:pPr>
        <w:numPr>
          <w:ilvl w:val="0"/>
          <w:numId w:val="0"/>
        </w:numPr>
        <w:ind w:firstLine="420" w:firstLineChars="0"/>
        <w:jc w:val="both"/>
        <w:rPr>
          <w:rFonts w:hint="eastAsia"/>
          <w:lang w:val="en-US" w:eastAsia="zh-CN"/>
        </w:rPr>
      </w:pPr>
      <w:r>
        <w:rPr>
          <w:rFonts w:hint="eastAsia"/>
          <w:lang w:val="en-US" w:eastAsia="zh-CN"/>
        </w:rPr>
        <w:t>在论文《An empirical evaluation of generic convolutional and recurrent networks for sequence modeling》中，作者提出一种TCN（Temporal Convolution Network）的结构，该结构结合扩大式卷积和残差结构的优势，达到覆盖长度长、训练速度快的目的。该结构在多个序列任务中都效果超过LSTM或GRU(Gated Recurrent Unit)。</w:t>
      </w:r>
    </w:p>
    <w:p>
      <w:pPr>
        <w:numPr>
          <w:ilvl w:val="0"/>
          <w:numId w:val="0"/>
        </w:numPr>
        <w:ind w:firstLine="420" w:firstLineChars="0"/>
        <w:jc w:val="both"/>
        <w:rPr>
          <w:rFonts w:hint="eastAsia"/>
          <w:lang w:val="en-US" w:eastAsia="zh-CN"/>
        </w:rPr>
      </w:pPr>
      <w:r>
        <w:rPr>
          <w:rFonts w:hint="eastAsia"/>
          <w:lang w:val="en-US" w:eastAsia="zh-CN"/>
        </w:rPr>
        <w:t>受该论文启发，本工作将TCN与CRF相结合，将其应用到命名实体识别中，做一个探索式的实验。</w:t>
      </w:r>
    </w:p>
    <w:p>
      <w:pPr>
        <w:numPr>
          <w:ilvl w:val="0"/>
          <w:numId w:val="1"/>
        </w:numPr>
        <w:jc w:val="both"/>
        <w:rPr>
          <w:rFonts w:hint="eastAsia"/>
          <w:b/>
          <w:bCs/>
          <w:sz w:val="28"/>
          <w:szCs w:val="28"/>
          <w:lang w:val="en-US" w:eastAsia="zh-CN"/>
        </w:rPr>
      </w:pPr>
      <w:r>
        <w:rPr>
          <w:rFonts w:hint="eastAsia"/>
          <w:b/>
          <w:bCs/>
          <w:sz w:val="28"/>
          <w:szCs w:val="28"/>
          <w:lang w:val="en-US" w:eastAsia="zh-CN"/>
        </w:rPr>
        <w:t>方法和模型</w:t>
      </w:r>
    </w:p>
    <w:p>
      <w:pPr>
        <w:numPr>
          <w:numId w:val="0"/>
        </w:numPr>
        <w:ind w:firstLine="420" w:firstLineChars="0"/>
        <w:jc w:val="both"/>
        <w:rPr>
          <w:rFonts w:hint="eastAsia"/>
          <w:b/>
          <w:bCs/>
          <w:sz w:val="24"/>
          <w:szCs w:val="24"/>
          <w:lang w:val="en-US" w:eastAsia="zh-CN"/>
        </w:rPr>
      </w:pPr>
      <w:r>
        <w:rPr>
          <w:rFonts w:hint="eastAsia"/>
          <w:b/>
          <w:bCs/>
          <w:sz w:val="24"/>
          <w:szCs w:val="24"/>
          <w:lang w:val="en-US" w:eastAsia="zh-CN"/>
        </w:rPr>
        <w:t>2.1</w:t>
      </w:r>
      <w:r>
        <w:rPr>
          <w:rFonts w:hint="eastAsia"/>
          <w:b/>
          <w:bCs/>
          <w:sz w:val="24"/>
          <w:szCs w:val="24"/>
          <w:lang w:val="en-US" w:eastAsia="zh-CN"/>
        </w:rPr>
        <w:tab/>
        <w:t>扩大式卷积</w:t>
      </w:r>
    </w:p>
    <w:p>
      <w:pPr>
        <w:numPr>
          <w:ilvl w:val="0"/>
          <w:numId w:val="0"/>
        </w:numPr>
        <w:ind w:firstLine="420" w:firstLineChars="0"/>
        <w:jc w:val="both"/>
        <w:rPr>
          <w:rFonts w:hint="eastAsia"/>
          <w:lang w:val="en-US" w:eastAsia="zh-CN"/>
        </w:rPr>
      </w:pPr>
      <w:r>
        <w:rPr>
          <w:rFonts w:hint="eastAsia"/>
          <w:lang w:val="en-US" w:eastAsia="zh-CN"/>
        </w:rPr>
        <w:t>扩大式卷积（《</w:t>
      </w:r>
      <w:r>
        <w:rPr>
          <w:rFonts w:hint="eastAsia"/>
          <w:lang w:val="en-US" w:eastAsia="zh-CN"/>
        </w:rPr>
        <w:fldChar w:fldCharType="begin"/>
      </w:r>
      <w:r>
        <w:rPr>
          <w:rFonts w:hint="eastAsia"/>
          <w:lang w:val="en-US" w:eastAsia="zh-CN"/>
        </w:rPr>
        <w:instrText xml:space="preserve"> HYPERLINK "http://xueshu.baidu.com/s?wd=paperuri:(906431f7e4f3b6679f265fe39c229fd8)&amp;filter=sc_long_sign&amp;tn=SE_xueshusource_2kduw22v&amp;sc_vurl=http://arxiv.org/abs/1511.07122&amp;ie=utf-8&amp;sc_us=11132490529322257159" \t "http://xueshu.baidu.com/_blank" </w:instrText>
      </w:r>
      <w:r>
        <w:rPr>
          <w:rFonts w:hint="eastAsia"/>
          <w:lang w:val="en-US" w:eastAsia="zh-CN"/>
        </w:rPr>
        <w:fldChar w:fldCharType="separate"/>
      </w:r>
      <w:r>
        <w:rPr>
          <w:rFonts w:hint="default"/>
          <w:lang w:val="en-US" w:eastAsia="zh-CN"/>
        </w:rPr>
        <w:t>Multi-Scale Context Aggregation by Dilated Convolutions</w:t>
      </w:r>
      <w:r>
        <w:rPr>
          <w:rFonts w:hint="default"/>
          <w:lang w:val="en-US" w:eastAsia="zh-CN"/>
        </w:rPr>
        <w:fldChar w:fldCharType="end"/>
      </w:r>
      <w:r>
        <w:rPr>
          <w:rFonts w:hint="eastAsia"/>
          <w:lang w:val="en-US" w:eastAsia="zh-CN"/>
        </w:rPr>
        <w:t>》）在普通卷积的基础上，设置了一种空洞卷积的结构，使得能获取到更远的特征信息。图1为扩大式卷积的结构，d代表卷积核中的间隔，d=1时和普通卷积没有区别。</w:t>
      </w:r>
    </w:p>
    <w:p>
      <w:pPr>
        <w:numPr>
          <w:ilvl w:val="0"/>
          <w:numId w:val="0"/>
        </w:numPr>
        <w:ind w:firstLine="420" w:firstLineChars="0"/>
        <w:jc w:val="both"/>
      </w:pPr>
      <w:r>
        <w:drawing>
          <wp:inline distT="0" distB="0" distL="114300" distR="114300">
            <wp:extent cx="4175760" cy="2654935"/>
            <wp:effectExtent l="0" t="0" r="15240" b="12065"/>
            <wp:docPr id="4"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ChangeAspect="1"/>
                    </pic:cNvPicPr>
                  </pic:nvPicPr>
                  <pic:blipFill>
                    <a:blip r:embed="rId4"/>
                    <a:stretch>
                      <a:fillRect/>
                    </a:stretch>
                  </pic:blipFill>
                  <pic:spPr>
                    <a:xfrm>
                      <a:off x="0" y="0"/>
                      <a:ext cx="4175760" cy="2654935"/>
                    </a:xfrm>
                    <a:prstGeom prst="rect">
                      <a:avLst/>
                    </a:prstGeom>
                  </pic:spPr>
                </pic:pic>
              </a:graphicData>
            </a:graphic>
          </wp:inline>
        </w:drawing>
      </w:r>
    </w:p>
    <w:p>
      <w:pPr>
        <w:numPr>
          <w:ilvl w:val="0"/>
          <w:numId w:val="0"/>
        </w:numPr>
        <w:ind w:firstLine="420" w:firstLineChars="0"/>
        <w:jc w:val="center"/>
        <w:rPr>
          <w:rFonts w:hint="eastAsia" w:eastAsiaTheme="minorEastAsia"/>
          <w:lang w:val="en-US" w:eastAsia="zh-CN"/>
        </w:rPr>
      </w:pPr>
      <w:r>
        <w:rPr>
          <w:rFonts w:hint="eastAsia"/>
          <w:lang w:val="en-US" w:eastAsia="zh-CN"/>
        </w:rPr>
        <w:t>图1</w:t>
      </w:r>
    </w:p>
    <w:p>
      <w:pPr>
        <w:numPr>
          <w:numId w:val="0"/>
        </w:numPr>
        <w:ind w:left="420" w:leftChars="0" w:firstLine="420" w:firstLineChars="0"/>
        <w:jc w:val="both"/>
        <w:rPr>
          <w:rFonts w:hint="eastAsia"/>
          <w:b/>
          <w:bCs/>
          <w:sz w:val="24"/>
          <w:szCs w:val="24"/>
          <w:lang w:val="en-US" w:eastAsia="zh-CN"/>
        </w:rPr>
      </w:pPr>
    </w:p>
    <w:p>
      <w:pPr>
        <w:numPr>
          <w:numId w:val="0"/>
        </w:numPr>
        <w:ind w:firstLine="420" w:firstLineChars="0"/>
        <w:jc w:val="both"/>
        <w:rPr>
          <w:rFonts w:hint="eastAsia"/>
          <w:b/>
          <w:bCs/>
          <w:sz w:val="24"/>
          <w:szCs w:val="24"/>
          <w:lang w:val="en-US" w:eastAsia="zh-CN"/>
        </w:rPr>
      </w:pPr>
      <w:r>
        <w:rPr>
          <w:rFonts w:hint="eastAsia"/>
          <w:b/>
          <w:bCs/>
          <w:sz w:val="24"/>
          <w:szCs w:val="24"/>
          <w:lang w:val="en-US" w:eastAsia="zh-CN"/>
        </w:rPr>
        <w:t>2.2</w:t>
      </w:r>
      <w:r>
        <w:rPr>
          <w:rFonts w:hint="eastAsia"/>
          <w:b/>
          <w:bCs/>
          <w:sz w:val="24"/>
          <w:szCs w:val="24"/>
          <w:lang w:val="en-US" w:eastAsia="zh-CN"/>
        </w:rPr>
        <w:tab/>
        <w:t>残差结构</w:t>
      </w:r>
    </w:p>
    <w:p>
      <w:pPr>
        <w:numPr>
          <w:ilvl w:val="0"/>
          <w:numId w:val="0"/>
        </w:numPr>
        <w:ind w:firstLine="420" w:firstLineChars="0"/>
        <w:jc w:val="both"/>
        <w:rPr>
          <w:rFonts w:hint="eastAsia"/>
          <w:lang w:val="en-US" w:eastAsia="zh-CN"/>
        </w:rPr>
      </w:pPr>
      <w:r>
        <w:rPr>
          <w:rFonts w:hint="eastAsia"/>
          <w:lang w:val="en-US" w:eastAsia="zh-CN"/>
        </w:rPr>
        <w:t>残差结构提出于《</w:t>
      </w:r>
      <w:r>
        <w:rPr>
          <w:rFonts w:hint="eastAsia"/>
          <w:lang w:val="en-US" w:eastAsia="zh-CN"/>
        </w:rPr>
        <w:fldChar w:fldCharType="begin"/>
      </w:r>
      <w:r>
        <w:rPr>
          <w:rFonts w:hint="eastAsia"/>
          <w:lang w:val="en-US" w:eastAsia="zh-CN"/>
        </w:rPr>
        <w:instrText xml:space="preserve"> HYPERLINK "http://doi.ieeecomputersociety.org/10.1109/CVPR.2016.90" \t "http://xueshu.baidu.com/_blank" </w:instrText>
      </w:r>
      <w:r>
        <w:rPr>
          <w:rFonts w:hint="eastAsia"/>
          <w:lang w:val="en-US" w:eastAsia="zh-CN"/>
        </w:rPr>
        <w:fldChar w:fldCharType="separate"/>
      </w:r>
      <w:r>
        <w:rPr>
          <w:rFonts w:hint="default"/>
          <w:lang w:val="en-US" w:eastAsia="zh-CN"/>
        </w:rPr>
        <w:t>Deep Residual Learning for Image Recognition</w:t>
      </w:r>
      <w:r>
        <w:rPr>
          <w:rFonts w:hint="default"/>
          <w:lang w:val="en-US" w:eastAsia="zh-CN"/>
        </w:rPr>
        <w:fldChar w:fldCharType="end"/>
      </w:r>
      <w:r>
        <w:rPr>
          <w:rFonts w:hint="eastAsia"/>
          <w:lang w:val="en-US" w:eastAsia="zh-CN"/>
        </w:rPr>
        <w:t>》，该结构通过将输入向量与输出向量相加，达到加快参数的训练的目的，从而大大减少模型的训练时间。图2为残差结构的示意图。当输入向量维度与输出向量维度不一致时，通过对1</w:t>
      </w:r>
      <w:r>
        <w:rPr>
          <w:rFonts w:hint="default" w:ascii="Arial" w:hAnsi="Arial" w:cs="Arial"/>
          <w:lang w:val="en-US" w:eastAsia="zh-CN"/>
        </w:rPr>
        <w:t>×</w:t>
      </w:r>
      <w:r>
        <w:rPr>
          <w:rFonts w:hint="eastAsia"/>
          <w:lang w:val="en-US" w:eastAsia="zh-CN"/>
        </w:rPr>
        <w:t>1的卷积操作调整输入向量的维度。本实验中的一个残差块中包含两层结构一致的扩大式卷积。</w:t>
      </w:r>
    </w:p>
    <w:p>
      <w:pPr>
        <w:numPr>
          <w:ilvl w:val="0"/>
          <w:numId w:val="0"/>
        </w:numPr>
        <w:ind w:firstLine="420" w:firstLineChars="0"/>
        <w:jc w:val="both"/>
      </w:pPr>
      <w:r>
        <w:drawing>
          <wp:inline distT="0" distB="0" distL="114300" distR="114300">
            <wp:extent cx="3050540" cy="3117215"/>
            <wp:effectExtent l="0" t="0" r="16510" b="6985"/>
            <wp:docPr id="1"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内容占位符 3"/>
                    <pic:cNvPicPr>
                      <a:picLocks noChangeAspect="1"/>
                    </pic:cNvPicPr>
                  </pic:nvPicPr>
                  <pic:blipFill>
                    <a:blip r:embed="rId5"/>
                    <a:stretch>
                      <a:fillRect/>
                    </a:stretch>
                  </pic:blipFill>
                  <pic:spPr>
                    <a:xfrm>
                      <a:off x="0" y="0"/>
                      <a:ext cx="3050540" cy="3117215"/>
                    </a:xfrm>
                    <a:prstGeom prst="rect">
                      <a:avLst/>
                    </a:prstGeom>
                  </pic:spPr>
                </pic:pic>
              </a:graphicData>
            </a:graphic>
          </wp:inline>
        </w:drawing>
      </w:r>
    </w:p>
    <w:p>
      <w:pPr>
        <w:numPr>
          <w:ilvl w:val="0"/>
          <w:numId w:val="0"/>
        </w:numPr>
        <w:ind w:firstLine="420" w:firstLineChars="0"/>
        <w:jc w:val="center"/>
        <w:rPr>
          <w:rFonts w:hint="eastAsia" w:eastAsiaTheme="minorEastAsia"/>
          <w:lang w:val="en-US" w:eastAsia="zh-CN"/>
        </w:rPr>
      </w:pPr>
      <w:r>
        <w:rPr>
          <w:rFonts w:hint="eastAsia"/>
          <w:lang w:val="en-US" w:eastAsia="zh-CN"/>
        </w:rPr>
        <w:t>图2</w:t>
      </w:r>
    </w:p>
    <w:p>
      <w:pPr>
        <w:numPr>
          <w:numId w:val="0"/>
        </w:numPr>
        <w:ind w:firstLine="420" w:firstLineChars="0"/>
        <w:jc w:val="both"/>
        <w:rPr>
          <w:rFonts w:hint="eastAsia"/>
          <w:b/>
          <w:bCs/>
          <w:sz w:val="24"/>
          <w:szCs w:val="24"/>
          <w:lang w:val="en-US" w:eastAsia="zh-CN"/>
        </w:rPr>
      </w:pPr>
      <w:r>
        <w:rPr>
          <w:rFonts w:hint="eastAsia"/>
          <w:b/>
          <w:bCs/>
          <w:sz w:val="24"/>
          <w:szCs w:val="24"/>
          <w:lang w:val="en-US" w:eastAsia="zh-CN"/>
        </w:rPr>
        <w:t>2.3</w:t>
      </w:r>
      <w:r>
        <w:rPr>
          <w:rFonts w:hint="eastAsia"/>
          <w:b/>
          <w:bCs/>
          <w:sz w:val="24"/>
          <w:szCs w:val="24"/>
          <w:lang w:val="en-US" w:eastAsia="zh-CN"/>
        </w:rPr>
        <w:tab/>
        <w:t>条件随机场</w:t>
      </w:r>
    </w:p>
    <w:p>
      <w:pPr>
        <w:numPr>
          <w:ilvl w:val="0"/>
          <w:numId w:val="0"/>
        </w:numPr>
        <w:ind w:firstLine="420" w:firstLineChars="0"/>
        <w:jc w:val="both"/>
        <w:rPr>
          <w:rFonts w:hint="eastAsia"/>
          <w:lang w:val="en-US" w:eastAsia="zh-CN"/>
        </w:rPr>
      </w:pPr>
      <w:r>
        <w:rPr>
          <w:rFonts w:hint="eastAsia"/>
          <w:lang w:val="en-US" w:eastAsia="zh-CN"/>
        </w:rPr>
        <w:t>条件随机场被广泛应用于序列标注任务，如词性识别，实体识别等。该算法通过引入一个状态转移矩阵，计算整个序列的条件概率。状态转移矩阵如图3所示。</w:t>
      </w:r>
    </w:p>
    <w:p>
      <w:pPr>
        <w:numPr>
          <w:ilvl w:val="0"/>
          <w:numId w:val="0"/>
        </w:numPr>
        <w:ind w:firstLine="420" w:firstLineChars="0"/>
        <w:jc w:val="both"/>
      </w:pPr>
      <w:r>
        <w:drawing>
          <wp:inline distT="0" distB="0" distL="114300" distR="114300">
            <wp:extent cx="4196080" cy="3605530"/>
            <wp:effectExtent l="0" t="0" r="13970"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196080" cy="3605530"/>
                    </a:xfrm>
                    <a:prstGeom prst="rect">
                      <a:avLst/>
                    </a:prstGeom>
                    <a:noFill/>
                    <a:ln w="9525">
                      <a:noFill/>
                    </a:ln>
                  </pic:spPr>
                </pic:pic>
              </a:graphicData>
            </a:graphic>
          </wp:inline>
        </w:drawing>
      </w:r>
    </w:p>
    <w:p>
      <w:pPr>
        <w:numPr>
          <w:ilvl w:val="0"/>
          <w:numId w:val="0"/>
        </w:numPr>
        <w:ind w:firstLine="420" w:firstLineChars="0"/>
        <w:jc w:val="center"/>
        <w:rPr>
          <w:rFonts w:hint="eastAsia" w:eastAsiaTheme="minorEastAsia"/>
          <w:lang w:val="en-US" w:eastAsia="zh-CN"/>
        </w:rPr>
      </w:pPr>
      <w:r>
        <w:rPr>
          <w:rFonts w:hint="eastAsia"/>
          <w:lang w:val="en-US" w:eastAsia="zh-CN"/>
        </w:rPr>
        <w:t>图3</w:t>
      </w:r>
    </w:p>
    <w:p>
      <w:pPr>
        <w:numPr>
          <w:numId w:val="0"/>
        </w:numPr>
        <w:ind w:firstLine="420" w:firstLineChars="0"/>
        <w:jc w:val="both"/>
        <w:rPr>
          <w:rFonts w:hint="eastAsia"/>
          <w:b/>
          <w:bCs/>
          <w:sz w:val="24"/>
          <w:szCs w:val="24"/>
          <w:lang w:val="en-US" w:eastAsia="zh-CN"/>
        </w:rPr>
      </w:pPr>
    </w:p>
    <w:p>
      <w:pPr>
        <w:numPr>
          <w:numId w:val="0"/>
        </w:numPr>
        <w:ind w:firstLine="420" w:firstLineChars="0"/>
        <w:jc w:val="both"/>
        <w:rPr>
          <w:rFonts w:hint="eastAsia"/>
          <w:b/>
          <w:bCs/>
          <w:sz w:val="24"/>
          <w:szCs w:val="24"/>
          <w:lang w:val="en-US" w:eastAsia="zh-CN"/>
        </w:rPr>
      </w:pPr>
      <w:r>
        <w:rPr>
          <w:rFonts w:hint="eastAsia"/>
          <w:b/>
          <w:bCs/>
          <w:sz w:val="24"/>
          <w:szCs w:val="24"/>
          <w:lang w:val="en-US" w:eastAsia="zh-CN"/>
        </w:rPr>
        <w:t>2.4</w:t>
      </w:r>
      <w:r>
        <w:rPr>
          <w:rFonts w:hint="eastAsia"/>
          <w:b/>
          <w:bCs/>
          <w:sz w:val="24"/>
          <w:szCs w:val="24"/>
          <w:lang w:val="en-US" w:eastAsia="zh-CN"/>
        </w:rPr>
        <w:tab/>
        <w:t>TCN-CRF</w:t>
      </w:r>
    </w:p>
    <w:p>
      <w:pPr>
        <w:numPr>
          <w:numId w:val="0"/>
        </w:numPr>
        <w:ind w:firstLine="420" w:firstLineChars="0"/>
        <w:jc w:val="left"/>
        <w:rPr>
          <w:rFonts w:hint="eastAsia"/>
          <w:lang w:val="en-US" w:eastAsia="zh-CN"/>
        </w:rPr>
      </w:pPr>
      <w:r>
        <w:rPr>
          <w:rFonts w:hint="eastAsia"/>
          <w:lang w:val="en-US" w:eastAsia="zh-CN"/>
        </w:rPr>
        <w:t>TCN-CRF整体结构如图4所示。通过堆叠残差结构的个数，使得输出向量包含更远距离的信息。残差结构中的扩大式卷积核的间隔呈以2为底的指数增长，这样可以大大减少残差块的个数。经过所有的残差结构后将输出向量送入CRF层计算所有可能输出序列的得分，训练过程中通过极大似然估计训练参数，预测时使用维特比算法选取得分最高的序列。</w:t>
      </w:r>
    </w:p>
    <w:p>
      <w:pPr>
        <w:numPr>
          <w:numId w:val="0"/>
        </w:numPr>
        <w:ind w:firstLine="420" w:firstLineChars="0"/>
        <w:jc w:val="left"/>
        <w:rPr>
          <w:rFonts w:hint="eastAsia"/>
          <w:lang w:val="en-US" w:eastAsia="zh-CN"/>
        </w:rPr>
      </w:pPr>
      <w:r>
        <w:drawing>
          <wp:inline distT="0" distB="0" distL="114300" distR="114300">
            <wp:extent cx="5273675" cy="4683125"/>
            <wp:effectExtent l="0" t="0" r="3175" b="317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5273675" cy="4683125"/>
                    </a:xfrm>
                    <a:prstGeom prst="rect">
                      <a:avLst/>
                    </a:prstGeom>
                    <a:noFill/>
                    <a:ln w="9525">
                      <a:noFill/>
                    </a:ln>
                  </pic:spPr>
                </pic:pic>
              </a:graphicData>
            </a:graphic>
          </wp:inline>
        </w:drawing>
      </w:r>
    </w:p>
    <w:p>
      <w:pPr>
        <w:numPr>
          <w:numId w:val="0"/>
        </w:numPr>
        <w:jc w:val="left"/>
      </w:pPr>
    </w:p>
    <w:p>
      <w:pPr>
        <w:numPr>
          <w:numId w:val="0"/>
        </w:numPr>
        <w:ind w:firstLine="420" w:firstLineChars="0"/>
        <w:jc w:val="center"/>
        <w:rPr>
          <w:rFonts w:hint="eastAsia" w:eastAsiaTheme="minorEastAsia"/>
          <w:lang w:val="en-US" w:eastAsia="zh-CN"/>
        </w:rPr>
      </w:pPr>
      <w:r>
        <w:rPr>
          <w:rFonts w:hint="eastAsia"/>
          <w:lang w:val="en-US" w:eastAsia="zh-CN"/>
        </w:rPr>
        <w:t>图4</w:t>
      </w:r>
    </w:p>
    <w:p>
      <w:pPr>
        <w:numPr>
          <w:ilvl w:val="0"/>
          <w:numId w:val="1"/>
        </w:numPr>
        <w:jc w:val="both"/>
        <w:rPr>
          <w:rFonts w:hint="eastAsia"/>
          <w:b/>
          <w:bCs/>
          <w:sz w:val="28"/>
          <w:szCs w:val="28"/>
          <w:lang w:val="en-US" w:eastAsia="zh-CN"/>
        </w:rPr>
      </w:pPr>
      <w:r>
        <w:rPr>
          <w:rFonts w:hint="eastAsia"/>
          <w:b/>
          <w:bCs/>
          <w:sz w:val="28"/>
          <w:szCs w:val="28"/>
          <w:lang w:val="en-US" w:eastAsia="zh-CN"/>
        </w:rPr>
        <w:t>实验设计及结果分析</w:t>
      </w:r>
    </w:p>
    <w:p>
      <w:pPr>
        <w:numPr>
          <w:ilvl w:val="0"/>
          <w:numId w:val="0"/>
        </w:numPr>
        <w:ind w:firstLine="420" w:firstLineChars="0"/>
        <w:jc w:val="both"/>
        <w:rPr>
          <w:rFonts w:hint="eastAsia"/>
          <w:b/>
          <w:bCs/>
          <w:sz w:val="28"/>
          <w:szCs w:val="28"/>
          <w:lang w:val="en-US" w:eastAsia="zh-CN"/>
        </w:rPr>
      </w:pPr>
      <w:r>
        <w:rPr>
          <w:rFonts w:hint="eastAsia"/>
          <w:b/>
          <w:bCs/>
          <w:sz w:val="28"/>
          <w:szCs w:val="28"/>
          <w:lang w:val="en-US" w:eastAsia="zh-CN"/>
        </w:rPr>
        <w:t>3.1</w:t>
      </w:r>
      <w:r>
        <w:rPr>
          <w:rFonts w:hint="eastAsia"/>
          <w:b/>
          <w:bCs/>
          <w:sz w:val="28"/>
          <w:szCs w:val="28"/>
          <w:lang w:val="en-US" w:eastAsia="zh-CN"/>
        </w:rPr>
        <w:tab/>
        <w:t>数据集</w:t>
      </w:r>
    </w:p>
    <w:p>
      <w:pPr>
        <w:numPr>
          <w:ilvl w:val="0"/>
          <w:numId w:val="0"/>
        </w:numPr>
        <w:ind w:firstLine="420" w:firstLineChars="0"/>
        <w:jc w:val="both"/>
        <w:rPr>
          <w:rFonts w:hint="eastAsia"/>
          <w:b/>
          <w:bCs/>
          <w:sz w:val="28"/>
          <w:szCs w:val="28"/>
          <w:lang w:val="en-US" w:eastAsia="zh-CN"/>
        </w:rPr>
      </w:pPr>
      <w:r>
        <w:rPr>
          <w:rFonts w:hint="eastAsia"/>
          <w:lang w:val="en-US" w:eastAsia="zh-CN"/>
        </w:rPr>
        <w:t>本次实验采用Conll-2003数据集，该数据集由路透社发布，包含1996年8月20日至1997年8月19日的英文新闻。该语料中的命名实体识别数据集的分布如图5所示。训练集共包含946篇新闻，14041个句子，验证集包含216篇新闻，3250个句子，测试集包含231篇新闻，3453个句子。该数据包含四种实体类型，即人名，地名，机构名，其他实体。该数据集中标注编码采用BIO（Begin,Inside,Outside）编码形式，之前研究表明BIOES（Begin,Inside,Outside,End,Single）编码形式优于BIO编码，所以本次实验训练也采用BIOES编码，测试时会将BIOES编码转化为BIO编码，仍采用原始的与数据集一同发布的基于BIO编码的评测脚本进行评测。</w:t>
      </w:r>
    </w:p>
    <w:p>
      <w:pPr>
        <w:numPr>
          <w:ilvl w:val="0"/>
          <w:numId w:val="0"/>
        </w:numPr>
        <w:ind w:firstLine="420" w:firstLineChars="0"/>
        <w:jc w:val="both"/>
        <w:rPr>
          <w:rFonts w:hint="eastAsia"/>
          <w:b/>
          <w:bCs/>
          <w:sz w:val="28"/>
          <w:szCs w:val="28"/>
          <w:lang w:val="en-US" w:eastAsia="zh-CN"/>
        </w:rPr>
      </w:pPr>
    </w:p>
    <w:p>
      <w:pPr>
        <w:numPr>
          <w:ilvl w:val="0"/>
          <w:numId w:val="0"/>
        </w:numPr>
        <w:ind w:firstLine="420" w:firstLineChars="0"/>
        <w:jc w:val="both"/>
      </w:pPr>
      <w:r>
        <w:drawing>
          <wp:inline distT="0" distB="0" distL="114300" distR="114300">
            <wp:extent cx="3980815" cy="2381250"/>
            <wp:effectExtent l="0" t="0" r="63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3980815" cy="2381250"/>
                    </a:xfrm>
                    <a:prstGeom prst="rect">
                      <a:avLst/>
                    </a:prstGeom>
                    <a:noFill/>
                    <a:ln w="9525">
                      <a:noFill/>
                    </a:ln>
                  </pic:spPr>
                </pic:pic>
              </a:graphicData>
            </a:graphic>
          </wp:inline>
        </w:drawing>
      </w:r>
    </w:p>
    <w:p>
      <w:pPr>
        <w:numPr>
          <w:ilvl w:val="0"/>
          <w:numId w:val="0"/>
        </w:numPr>
        <w:ind w:firstLine="420" w:firstLineChars="0"/>
        <w:jc w:val="center"/>
        <w:rPr>
          <w:rFonts w:hint="eastAsia" w:eastAsiaTheme="minorEastAsia"/>
          <w:lang w:val="en-US" w:eastAsia="zh-CN"/>
        </w:rPr>
      </w:pPr>
      <w:r>
        <w:rPr>
          <w:rFonts w:hint="eastAsia"/>
          <w:lang w:val="en-US" w:eastAsia="zh-CN"/>
        </w:rPr>
        <w:t>图5</w:t>
      </w:r>
    </w:p>
    <w:p>
      <w:pPr>
        <w:numPr>
          <w:ilvl w:val="0"/>
          <w:numId w:val="0"/>
        </w:numPr>
        <w:ind w:firstLine="420" w:firstLineChars="0"/>
        <w:jc w:val="both"/>
        <w:rPr>
          <w:rFonts w:hint="eastAsia"/>
          <w:b/>
          <w:bCs/>
          <w:sz w:val="28"/>
          <w:szCs w:val="28"/>
          <w:lang w:val="en-US" w:eastAsia="zh-CN"/>
        </w:rPr>
      </w:pPr>
      <w:r>
        <w:rPr>
          <w:rFonts w:hint="eastAsia"/>
          <w:b/>
          <w:bCs/>
          <w:sz w:val="28"/>
          <w:szCs w:val="28"/>
          <w:lang w:val="en-US" w:eastAsia="zh-CN"/>
        </w:rPr>
        <w:t>3.2</w:t>
      </w:r>
      <w:r>
        <w:rPr>
          <w:rFonts w:hint="eastAsia"/>
          <w:b/>
          <w:bCs/>
          <w:sz w:val="28"/>
          <w:szCs w:val="28"/>
          <w:lang w:val="en-US" w:eastAsia="zh-CN"/>
        </w:rPr>
        <w:tab/>
        <w:t>超参数设置</w:t>
      </w:r>
    </w:p>
    <w:p>
      <w:pPr>
        <w:numPr>
          <w:ilvl w:val="0"/>
          <w:numId w:val="0"/>
        </w:numPr>
        <w:ind w:firstLine="420" w:firstLineChars="0"/>
        <w:jc w:val="both"/>
        <w:rPr>
          <w:rFonts w:hint="eastAsia"/>
          <w:lang w:val="en-US" w:eastAsia="zh-CN"/>
        </w:rPr>
      </w:pPr>
      <w:r>
        <w:rPr>
          <w:rFonts w:hint="eastAsia"/>
          <w:lang w:val="en-US" w:eastAsia="zh-CN"/>
        </w:rPr>
        <w:t>本次实验基于上数据集分别做了句子级实体识别以及篇章级实体识别。句子级实体识别以句子为单位作为模型的输入，忽略一篇文章中句子间的关联。篇章级实体识别以文章为单位作为模型的输入，考虑一篇文章中句子的语义相关性。两种模型相关超参数如表1所示。</w:t>
      </w:r>
    </w:p>
    <w:p>
      <w:pPr>
        <w:numPr>
          <w:ilvl w:val="0"/>
          <w:numId w:val="0"/>
        </w:numPr>
        <w:jc w:val="both"/>
        <w:rPr>
          <w:rFonts w:hint="eastAsia"/>
          <w:lang w:val="en-US" w:eastAsia="zh-CN"/>
        </w:rPr>
      </w:pPr>
      <w:r>
        <w:rPr>
          <w:rFonts w:hint="eastAsia"/>
          <w:lang w:val="en-US" w:eastAsia="zh-CN"/>
        </w:rPr>
        <w:t>由于篇章级序列长度远大于句子级序列长度，所以在卷积核大小相同的情况下，篇章级需要堆叠更多的残差结构。</w:t>
      </w:r>
    </w:p>
    <w:tbl>
      <w:tblPr>
        <w:tblStyle w:val="6"/>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694"/>
        <w:gridCol w:w="1918"/>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694" w:type="dxa"/>
          </w:tcPr>
          <w:p>
            <w:pPr>
              <w:numPr>
                <w:ilvl w:val="0"/>
                <w:numId w:val="0"/>
              </w:numPr>
              <w:ind w:firstLine="420" w:firstLineChars="0"/>
              <w:jc w:val="both"/>
              <w:rPr>
                <w:rFonts w:hint="eastAsia"/>
                <w:lang w:val="en-US" w:eastAsia="zh-CN"/>
              </w:rPr>
            </w:pPr>
            <w:r>
              <w:rPr>
                <w:rFonts w:hint="eastAsia"/>
                <w:lang w:val="en-US" w:eastAsia="zh-CN"/>
              </w:rPr>
              <w:t>超参数</w:t>
            </w:r>
          </w:p>
        </w:tc>
        <w:tc>
          <w:tcPr>
            <w:tcW w:w="1918" w:type="dxa"/>
          </w:tcPr>
          <w:p>
            <w:pPr>
              <w:numPr>
                <w:ilvl w:val="0"/>
                <w:numId w:val="0"/>
              </w:numPr>
              <w:ind w:firstLine="420" w:firstLineChars="0"/>
              <w:jc w:val="both"/>
              <w:rPr>
                <w:rFonts w:hint="eastAsia"/>
                <w:lang w:val="en-US" w:eastAsia="zh-CN"/>
              </w:rPr>
            </w:pPr>
            <w:r>
              <w:rPr>
                <w:rFonts w:hint="eastAsia"/>
                <w:lang w:val="en-US" w:eastAsia="zh-CN"/>
              </w:rPr>
              <w:t>句子级模型</w:t>
            </w:r>
          </w:p>
        </w:tc>
        <w:tc>
          <w:tcPr>
            <w:tcW w:w="1909" w:type="dxa"/>
          </w:tcPr>
          <w:p>
            <w:pPr>
              <w:numPr>
                <w:ilvl w:val="0"/>
                <w:numId w:val="0"/>
              </w:numPr>
              <w:ind w:firstLine="420" w:firstLineChars="0"/>
              <w:jc w:val="both"/>
              <w:rPr>
                <w:rFonts w:hint="eastAsia"/>
                <w:lang w:val="en-US" w:eastAsia="zh-CN"/>
              </w:rPr>
            </w:pPr>
            <w:r>
              <w:rPr>
                <w:rFonts w:hint="eastAsia"/>
                <w:lang w:val="en-US" w:eastAsia="zh-CN"/>
              </w:rPr>
              <w:t>篇章级模型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694" w:type="dxa"/>
          </w:tcPr>
          <w:p>
            <w:pPr>
              <w:numPr>
                <w:ilvl w:val="0"/>
                <w:numId w:val="0"/>
              </w:numPr>
              <w:ind w:firstLine="420" w:firstLineChars="0"/>
              <w:jc w:val="both"/>
              <w:rPr>
                <w:rFonts w:hint="eastAsia"/>
                <w:lang w:val="en-US" w:eastAsia="zh-CN"/>
              </w:rPr>
            </w:pPr>
            <w:r>
              <w:rPr>
                <w:rFonts w:hint="eastAsia"/>
                <w:lang w:val="en-US" w:eastAsia="zh-CN"/>
              </w:rPr>
              <w:t>卷积核大小（filter size）</w:t>
            </w:r>
          </w:p>
        </w:tc>
        <w:tc>
          <w:tcPr>
            <w:tcW w:w="1918" w:type="dxa"/>
          </w:tcPr>
          <w:p>
            <w:pPr>
              <w:numPr>
                <w:ilvl w:val="0"/>
                <w:numId w:val="0"/>
              </w:numPr>
              <w:ind w:firstLine="420" w:firstLineChars="0"/>
              <w:jc w:val="both"/>
              <w:rPr>
                <w:rFonts w:hint="eastAsia"/>
                <w:lang w:val="en-US" w:eastAsia="zh-CN"/>
              </w:rPr>
            </w:pPr>
            <w:r>
              <w:rPr>
                <w:rFonts w:hint="eastAsia"/>
                <w:lang w:val="en-US" w:eastAsia="zh-CN"/>
              </w:rPr>
              <w:t>5</w:t>
            </w:r>
          </w:p>
        </w:tc>
        <w:tc>
          <w:tcPr>
            <w:tcW w:w="1909" w:type="dxa"/>
          </w:tcPr>
          <w:p>
            <w:pPr>
              <w:numPr>
                <w:ilvl w:val="0"/>
                <w:numId w:val="0"/>
              </w:numPr>
              <w:ind w:firstLine="420" w:firstLineChars="0"/>
              <w:jc w:val="both"/>
              <w:rPr>
                <w:rFonts w:hint="eastAsia"/>
                <w:lang w:val="en-US" w:eastAsia="zh-CN"/>
              </w:rPr>
            </w:pPr>
            <w:r>
              <w:rPr>
                <w:rFonts w:hint="eastAsia"/>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694" w:type="dxa"/>
          </w:tcPr>
          <w:p>
            <w:pPr>
              <w:numPr>
                <w:ilvl w:val="0"/>
                <w:numId w:val="0"/>
              </w:numPr>
              <w:ind w:firstLine="420" w:firstLineChars="0"/>
              <w:jc w:val="both"/>
              <w:rPr>
                <w:rFonts w:hint="eastAsia"/>
                <w:lang w:val="en-US" w:eastAsia="zh-CN"/>
              </w:rPr>
            </w:pPr>
            <w:r>
              <w:rPr>
                <w:rFonts w:hint="eastAsia"/>
                <w:lang w:val="en-US" w:eastAsia="zh-CN"/>
              </w:rPr>
              <w:t>残差结构个数</w:t>
            </w:r>
          </w:p>
        </w:tc>
        <w:tc>
          <w:tcPr>
            <w:tcW w:w="1918" w:type="dxa"/>
          </w:tcPr>
          <w:p>
            <w:pPr>
              <w:numPr>
                <w:ilvl w:val="0"/>
                <w:numId w:val="0"/>
              </w:numPr>
              <w:ind w:firstLine="420" w:firstLineChars="0"/>
              <w:jc w:val="both"/>
              <w:rPr>
                <w:rFonts w:hint="eastAsia"/>
                <w:lang w:val="en-US" w:eastAsia="zh-CN"/>
              </w:rPr>
            </w:pPr>
            <w:r>
              <w:rPr>
                <w:rFonts w:hint="eastAsia"/>
                <w:lang w:val="en-US" w:eastAsia="zh-CN"/>
              </w:rPr>
              <w:t>4</w:t>
            </w:r>
          </w:p>
        </w:tc>
        <w:tc>
          <w:tcPr>
            <w:tcW w:w="1909" w:type="dxa"/>
          </w:tcPr>
          <w:p>
            <w:pPr>
              <w:numPr>
                <w:ilvl w:val="0"/>
                <w:numId w:val="0"/>
              </w:numPr>
              <w:ind w:firstLine="420" w:firstLineChars="0"/>
              <w:jc w:val="both"/>
              <w:rPr>
                <w:rFonts w:hint="eastAsia"/>
                <w:lang w:val="en-US" w:eastAsia="zh-CN"/>
              </w:rPr>
            </w:pPr>
            <w:r>
              <w:rPr>
                <w:rFonts w:hint="eastAsia"/>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694" w:type="dxa"/>
          </w:tcPr>
          <w:p>
            <w:pPr>
              <w:numPr>
                <w:ilvl w:val="0"/>
                <w:numId w:val="0"/>
              </w:numPr>
              <w:ind w:firstLine="420" w:firstLineChars="0"/>
              <w:jc w:val="both"/>
              <w:rPr>
                <w:rFonts w:hint="eastAsia"/>
                <w:lang w:val="en-US" w:eastAsia="zh-CN"/>
              </w:rPr>
            </w:pPr>
            <w:r>
              <w:rPr>
                <w:rFonts w:hint="eastAsia"/>
                <w:lang w:val="en-US" w:eastAsia="zh-CN"/>
              </w:rPr>
              <w:t>batch size</w:t>
            </w:r>
          </w:p>
        </w:tc>
        <w:tc>
          <w:tcPr>
            <w:tcW w:w="1918" w:type="dxa"/>
          </w:tcPr>
          <w:p>
            <w:pPr>
              <w:numPr>
                <w:ilvl w:val="0"/>
                <w:numId w:val="0"/>
              </w:numPr>
              <w:ind w:firstLine="420" w:firstLineChars="0"/>
              <w:jc w:val="both"/>
              <w:rPr>
                <w:rFonts w:hint="eastAsia"/>
                <w:lang w:val="en-US" w:eastAsia="zh-CN"/>
              </w:rPr>
            </w:pPr>
            <w:r>
              <w:rPr>
                <w:rFonts w:hint="eastAsia"/>
                <w:lang w:val="en-US" w:eastAsia="zh-CN"/>
              </w:rPr>
              <w:t>8</w:t>
            </w:r>
          </w:p>
        </w:tc>
        <w:tc>
          <w:tcPr>
            <w:tcW w:w="1909" w:type="dxa"/>
          </w:tcPr>
          <w:p>
            <w:pPr>
              <w:numPr>
                <w:ilvl w:val="0"/>
                <w:numId w:val="0"/>
              </w:numPr>
              <w:ind w:firstLine="420" w:firstLineChars="0"/>
              <w:jc w:val="both"/>
              <w:rPr>
                <w:rFonts w:hint="eastAsia"/>
                <w:lang w:val="en-US" w:eastAsia="zh-CN"/>
              </w:rPr>
            </w:pP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694" w:type="dxa"/>
          </w:tcPr>
          <w:p>
            <w:pPr>
              <w:numPr>
                <w:ilvl w:val="0"/>
                <w:numId w:val="0"/>
              </w:numPr>
              <w:ind w:firstLine="420" w:firstLineChars="0"/>
              <w:jc w:val="both"/>
              <w:rPr>
                <w:rFonts w:hint="eastAsia"/>
                <w:lang w:val="en-US" w:eastAsia="zh-CN"/>
              </w:rPr>
            </w:pPr>
            <w:r>
              <w:rPr>
                <w:rFonts w:hint="eastAsia"/>
                <w:lang w:val="en-US" w:eastAsia="zh-CN"/>
              </w:rPr>
              <w:t>迭代轮数(epoch)</w:t>
            </w:r>
          </w:p>
        </w:tc>
        <w:tc>
          <w:tcPr>
            <w:tcW w:w="1918" w:type="dxa"/>
          </w:tcPr>
          <w:p>
            <w:pPr>
              <w:numPr>
                <w:ilvl w:val="0"/>
                <w:numId w:val="0"/>
              </w:numPr>
              <w:ind w:firstLine="420" w:firstLineChars="0"/>
              <w:jc w:val="both"/>
              <w:rPr>
                <w:rFonts w:hint="eastAsia"/>
                <w:lang w:val="en-US" w:eastAsia="zh-CN"/>
              </w:rPr>
            </w:pPr>
            <w:r>
              <w:rPr>
                <w:rFonts w:hint="eastAsia"/>
                <w:lang w:val="en-US" w:eastAsia="zh-CN"/>
              </w:rPr>
              <w:t>100</w:t>
            </w:r>
          </w:p>
        </w:tc>
        <w:tc>
          <w:tcPr>
            <w:tcW w:w="1909" w:type="dxa"/>
          </w:tcPr>
          <w:p>
            <w:pPr>
              <w:numPr>
                <w:ilvl w:val="0"/>
                <w:numId w:val="0"/>
              </w:numPr>
              <w:ind w:firstLine="420" w:firstLineChars="0"/>
              <w:jc w:val="both"/>
              <w:rPr>
                <w:rFonts w:hint="eastAsia"/>
                <w:lang w:val="en-US" w:eastAsia="zh-CN"/>
              </w:rPr>
            </w:pPr>
            <w:r>
              <w:rPr>
                <w:rFonts w:hint="eastAsia"/>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694" w:type="dxa"/>
          </w:tcPr>
          <w:p>
            <w:pPr>
              <w:numPr>
                <w:ilvl w:val="0"/>
                <w:numId w:val="0"/>
              </w:numPr>
              <w:ind w:firstLine="420" w:firstLineChars="0"/>
              <w:jc w:val="both"/>
              <w:rPr>
                <w:rFonts w:hint="eastAsia"/>
                <w:lang w:val="en-US" w:eastAsia="zh-CN"/>
              </w:rPr>
            </w:pPr>
            <w:r>
              <w:rPr>
                <w:rFonts w:hint="eastAsia"/>
                <w:lang w:val="en-US" w:eastAsia="zh-CN"/>
              </w:rPr>
              <w:t>优化器(optimizer)</w:t>
            </w:r>
          </w:p>
        </w:tc>
        <w:tc>
          <w:tcPr>
            <w:tcW w:w="1918" w:type="dxa"/>
          </w:tcPr>
          <w:p>
            <w:pPr>
              <w:numPr>
                <w:ilvl w:val="0"/>
                <w:numId w:val="0"/>
              </w:numPr>
              <w:ind w:firstLine="420" w:firstLineChars="0"/>
              <w:jc w:val="both"/>
              <w:rPr>
                <w:rFonts w:hint="eastAsia"/>
                <w:lang w:val="en-US" w:eastAsia="zh-CN"/>
              </w:rPr>
            </w:pPr>
            <w:r>
              <w:rPr>
                <w:rFonts w:hint="eastAsia"/>
                <w:lang w:val="en-US" w:eastAsia="zh-CN"/>
              </w:rPr>
              <w:t>SGD</w:t>
            </w:r>
          </w:p>
        </w:tc>
        <w:tc>
          <w:tcPr>
            <w:tcW w:w="1909" w:type="dxa"/>
          </w:tcPr>
          <w:p>
            <w:pPr>
              <w:numPr>
                <w:ilvl w:val="0"/>
                <w:numId w:val="0"/>
              </w:numPr>
              <w:ind w:firstLine="420" w:firstLineChars="0"/>
              <w:jc w:val="both"/>
              <w:rPr>
                <w:rFonts w:hint="eastAsia"/>
                <w:lang w:val="en-US" w:eastAsia="zh-CN"/>
              </w:rPr>
            </w:pPr>
            <w:r>
              <w:rPr>
                <w:rFonts w:hint="eastAsia"/>
                <w:lang w:val="en-US" w:eastAsia="zh-CN"/>
              </w:rPr>
              <w:t>SGD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694" w:type="dxa"/>
          </w:tcPr>
          <w:p>
            <w:pPr>
              <w:numPr>
                <w:ilvl w:val="0"/>
                <w:numId w:val="0"/>
              </w:numPr>
              <w:ind w:firstLine="420" w:firstLineChars="0"/>
              <w:jc w:val="both"/>
              <w:rPr>
                <w:rFonts w:hint="eastAsia"/>
                <w:lang w:val="en-US" w:eastAsia="zh-CN"/>
              </w:rPr>
            </w:pPr>
            <w:r>
              <w:rPr>
                <w:rFonts w:hint="eastAsia"/>
                <w:lang w:val="en-US" w:eastAsia="zh-CN"/>
              </w:rPr>
              <w:t>梯度修剪(gradient clip)</w:t>
            </w:r>
          </w:p>
        </w:tc>
        <w:tc>
          <w:tcPr>
            <w:tcW w:w="1918" w:type="dxa"/>
          </w:tcPr>
          <w:p>
            <w:pPr>
              <w:numPr>
                <w:ilvl w:val="0"/>
                <w:numId w:val="0"/>
              </w:numPr>
              <w:ind w:firstLine="420" w:firstLineChars="0"/>
              <w:jc w:val="both"/>
              <w:rPr>
                <w:rFonts w:hint="eastAsia"/>
                <w:lang w:val="en-US" w:eastAsia="zh-CN"/>
              </w:rPr>
            </w:pPr>
            <w:r>
              <w:rPr>
                <w:rFonts w:hint="eastAsia"/>
                <w:lang w:val="en-US" w:eastAsia="zh-CN"/>
              </w:rPr>
              <w:t>0.35</w:t>
            </w:r>
          </w:p>
        </w:tc>
        <w:tc>
          <w:tcPr>
            <w:tcW w:w="1909" w:type="dxa"/>
          </w:tcPr>
          <w:p>
            <w:pPr>
              <w:numPr>
                <w:ilvl w:val="0"/>
                <w:numId w:val="0"/>
              </w:numPr>
              <w:ind w:firstLine="420" w:firstLineChars="0"/>
              <w:jc w:val="both"/>
              <w:rPr>
                <w:rFonts w:hint="eastAsia"/>
                <w:lang w:val="en-US" w:eastAsia="zh-CN"/>
              </w:rPr>
            </w:pPr>
            <w:r>
              <w:rPr>
                <w:rFonts w:hint="eastAsia"/>
                <w:lang w:val="en-US" w:eastAsia="zh-CN"/>
              </w:rPr>
              <w:t>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694" w:type="dxa"/>
          </w:tcPr>
          <w:p>
            <w:pPr>
              <w:numPr>
                <w:ilvl w:val="0"/>
                <w:numId w:val="0"/>
              </w:numPr>
              <w:ind w:firstLine="420" w:firstLineChars="0"/>
              <w:jc w:val="both"/>
              <w:rPr>
                <w:rFonts w:hint="eastAsia"/>
                <w:lang w:val="en-US" w:eastAsia="zh-CN"/>
              </w:rPr>
            </w:pPr>
            <w:r>
              <w:rPr>
                <w:rFonts w:hint="eastAsia"/>
                <w:lang w:val="en-US" w:eastAsia="zh-CN"/>
              </w:rPr>
              <w:t>丢失率(dropout rate)</w:t>
            </w:r>
          </w:p>
        </w:tc>
        <w:tc>
          <w:tcPr>
            <w:tcW w:w="1918" w:type="dxa"/>
          </w:tcPr>
          <w:p>
            <w:pPr>
              <w:numPr>
                <w:ilvl w:val="0"/>
                <w:numId w:val="0"/>
              </w:numPr>
              <w:ind w:firstLine="420" w:firstLineChars="0"/>
              <w:jc w:val="both"/>
              <w:rPr>
                <w:rFonts w:hint="eastAsia"/>
                <w:lang w:val="en-US" w:eastAsia="zh-CN"/>
              </w:rPr>
            </w:pPr>
            <w:r>
              <w:rPr>
                <w:rFonts w:hint="eastAsia"/>
                <w:lang w:val="en-US" w:eastAsia="zh-CN"/>
              </w:rPr>
              <w:t>0.5</w:t>
            </w:r>
          </w:p>
        </w:tc>
        <w:tc>
          <w:tcPr>
            <w:tcW w:w="1909" w:type="dxa"/>
          </w:tcPr>
          <w:p>
            <w:pPr>
              <w:numPr>
                <w:ilvl w:val="0"/>
                <w:numId w:val="0"/>
              </w:numPr>
              <w:ind w:firstLine="420" w:firstLineChars="0"/>
              <w:jc w:val="both"/>
              <w:rPr>
                <w:rFonts w:hint="eastAsia"/>
                <w:lang w:val="en-US" w:eastAsia="zh-CN"/>
              </w:rPr>
            </w:pPr>
            <w:r>
              <w:rPr>
                <w:rFonts w:hint="eastAsia"/>
                <w:lang w:val="en-US" w:eastAsia="zh-CN"/>
              </w:rPr>
              <w:t>0.5</w:t>
            </w:r>
          </w:p>
        </w:tc>
      </w:tr>
    </w:tbl>
    <w:p>
      <w:pPr>
        <w:numPr>
          <w:ilvl w:val="0"/>
          <w:numId w:val="0"/>
        </w:numPr>
        <w:ind w:firstLine="420" w:firstLineChars="0"/>
        <w:jc w:val="center"/>
        <w:rPr>
          <w:rFonts w:hint="eastAsia"/>
          <w:lang w:val="en-US" w:eastAsia="zh-CN"/>
        </w:rPr>
      </w:pPr>
      <w:r>
        <w:rPr>
          <w:rFonts w:hint="eastAsia"/>
          <w:lang w:val="en-US" w:eastAsia="zh-CN"/>
        </w:rPr>
        <w:t>表1</w:t>
      </w:r>
    </w:p>
    <w:p>
      <w:pPr>
        <w:numPr>
          <w:ilvl w:val="0"/>
          <w:numId w:val="0"/>
        </w:numPr>
        <w:ind w:firstLine="420" w:firstLineChars="0"/>
        <w:jc w:val="both"/>
        <w:rPr>
          <w:rFonts w:hint="eastAsia"/>
          <w:b/>
          <w:bCs/>
          <w:sz w:val="28"/>
          <w:szCs w:val="28"/>
          <w:lang w:val="en-US" w:eastAsia="zh-CN"/>
        </w:rPr>
      </w:pPr>
      <w:r>
        <w:rPr>
          <w:rFonts w:hint="eastAsia"/>
          <w:b/>
          <w:bCs/>
          <w:sz w:val="28"/>
          <w:szCs w:val="28"/>
          <w:lang w:val="en-US" w:eastAsia="zh-CN"/>
        </w:rPr>
        <w:t>3.3实验结果</w:t>
      </w:r>
    </w:p>
    <w:p>
      <w:pPr>
        <w:numPr>
          <w:ilvl w:val="0"/>
          <w:numId w:val="0"/>
        </w:numPr>
        <w:ind w:firstLine="420" w:firstLineChars="0"/>
        <w:jc w:val="both"/>
        <w:rPr>
          <w:rFonts w:hint="eastAsia"/>
          <w:lang w:val="en-US" w:eastAsia="zh-CN"/>
        </w:rPr>
      </w:pPr>
      <w:r>
        <w:rPr>
          <w:rFonts w:hint="eastAsia"/>
          <w:lang w:val="en-US" w:eastAsia="zh-CN"/>
        </w:rPr>
        <w:t>实验结果如表2所示。初步实验显示，TCN_CRF模型表现还是不如BILSTM_CRF模型。</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ind w:firstLine="420" w:firstLineChars="0"/>
              <w:jc w:val="both"/>
              <w:rPr>
                <w:rFonts w:hint="eastAsia"/>
                <w:lang w:val="en-US" w:eastAsia="zh-CN"/>
              </w:rPr>
            </w:pPr>
            <w:r>
              <w:rPr>
                <w:rFonts w:hint="eastAsia"/>
                <w:lang w:val="en-US" w:eastAsia="zh-CN"/>
              </w:rPr>
              <w:t>模型</w:t>
            </w:r>
          </w:p>
        </w:tc>
        <w:tc>
          <w:tcPr>
            <w:tcW w:w="4261" w:type="dxa"/>
          </w:tcPr>
          <w:p>
            <w:pPr>
              <w:numPr>
                <w:ilvl w:val="0"/>
                <w:numId w:val="0"/>
              </w:numPr>
              <w:ind w:firstLine="420" w:firstLineChars="0"/>
              <w:jc w:val="both"/>
              <w:rPr>
                <w:rFonts w:hint="eastAsia"/>
                <w:lang w:val="en-US" w:eastAsia="zh-CN"/>
              </w:rPr>
            </w:pPr>
            <w:r>
              <w:rPr>
                <w:rFonts w:hint="eastAsia"/>
                <w:lang w:val="en-US" w:eastAsia="zh-CN"/>
              </w:rPr>
              <w:t>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ind w:firstLine="420" w:firstLineChars="0"/>
              <w:jc w:val="both"/>
              <w:rPr>
                <w:rFonts w:hint="eastAsia"/>
                <w:lang w:val="en-US" w:eastAsia="zh-CN"/>
              </w:rPr>
            </w:pPr>
            <w:r>
              <w:rPr>
                <w:rFonts w:hint="eastAsia"/>
                <w:lang w:val="en-US" w:eastAsia="zh-CN"/>
              </w:rPr>
              <w:t>BILSTM-</w:t>
            </w:r>
            <w:bookmarkStart w:id="0" w:name="_GoBack"/>
            <w:bookmarkEnd w:id="0"/>
            <w:r>
              <w:rPr>
                <w:rFonts w:hint="eastAsia"/>
                <w:lang w:val="en-US" w:eastAsia="zh-CN"/>
              </w:rPr>
              <w:t>CRF</w:t>
            </w:r>
          </w:p>
        </w:tc>
        <w:tc>
          <w:tcPr>
            <w:tcW w:w="4261" w:type="dxa"/>
            <w:vAlign w:val="center"/>
          </w:tcPr>
          <w:p>
            <w:pPr>
              <w:numPr>
                <w:ilvl w:val="0"/>
                <w:numId w:val="0"/>
              </w:numPr>
              <w:ind w:firstLine="420" w:firstLineChars="0"/>
              <w:jc w:val="both"/>
              <w:rPr>
                <w:rFonts w:hint="eastAsia"/>
                <w:lang w:val="en-US" w:eastAsia="zh-CN"/>
              </w:rPr>
            </w:pPr>
            <w:r>
              <w:rPr>
                <w:rFonts w:hint="eastAsia"/>
                <w:lang w:val="en-US" w:eastAsia="zh-CN"/>
              </w:rPr>
              <w:t xml:space="preserve">0.8980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ind w:firstLine="420" w:firstLineChars="0"/>
              <w:jc w:val="both"/>
              <w:rPr>
                <w:rFonts w:hint="eastAsia"/>
                <w:lang w:val="en-US" w:eastAsia="zh-CN"/>
              </w:rPr>
            </w:pPr>
            <w:r>
              <w:rPr>
                <w:rFonts w:hint="eastAsia"/>
                <w:lang w:val="en-US" w:eastAsia="zh-CN"/>
              </w:rPr>
              <w:t>TCN-CRF(SENT)</w:t>
            </w:r>
          </w:p>
        </w:tc>
        <w:tc>
          <w:tcPr>
            <w:tcW w:w="4261" w:type="dxa"/>
          </w:tcPr>
          <w:p>
            <w:pPr>
              <w:numPr>
                <w:ilvl w:val="0"/>
                <w:numId w:val="0"/>
              </w:numPr>
              <w:ind w:firstLine="420" w:firstLineChars="0"/>
              <w:jc w:val="both"/>
              <w:rPr>
                <w:rFonts w:hint="eastAsia"/>
                <w:lang w:val="en-US" w:eastAsia="zh-CN"/>
              </w:rPr>
            </w:pPr>
            <w:r>
              <w:rPr>
                <w:rFonts w:hint="eastAsia"/>
                <w:lang w:val="en-US" w:eastAsia="zh-CN"/>
              </w:rPr>
              <w:t>0.8464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ind w:firstLine="420" w:firstLineChars="0"/>
              <w:jc w:val="both"/>
              <w:rPr>
                <w:rFonts w:hint="eastAsia"/>
                <w:lang w:val="en-US" w:eastAsia="zh-CN"/>
              </w:rPr>
            </w:pPr>
            <w:r>
              <w:rPr>
                <w:rFonts w:hint="eastAsia"/>
                <w:lang w:val="en-US" w:eastAsia="zh-CN"/>
              </w:rPr>
              <w:t>TCN-CRG(DOC)</w:t>
            </w:r>
          </w:p>
        </w:tc>
        <w:tc>
          <w:tcPr>
            <w:tcW w:w="4261" w:type="dxa"/>
          </w:tcPr>
          <w:p>
            <w:pPr>
              <w:numPr>
                <w:ilvl w:val="0"/>
                <w:numId w:val="0"/>
              </w:numPr>
              <w:ind w:firstLine="420" w:firstLineChars="0"/>
              <w:jc w:val="both"/>
              <w:rPr>
                <w:rFonts w:hint="eastAsia"/>
                <w:lang w:val="en-US" w:eastAsia="zh-CN"/>
              </w:rPr>
            </w:pPr>
            <w:r>
              <w:rPr>
                <w:rFonts w:hint="eastAsia"/>
                <w:lang w:val="en-US" w:eastAsia="zh-CN"/>
              </w:rPr>
              <w:t>0.8320</w:t>
            </w:r>
          </w:p>
        </w:tc>
      </w:tr>
    </w:tbl>
    <w:p>
      <w:pPr>
        <w:numPr>
          <w:ilvl w:val="0"/>
          <w:numId w:val="0"/>
        </w:numPr>
        <w:ind w:firstLine="420" w:firstLineChars="0"/>
        <w:jc w:val="center"/>
        <w:rPr>
          <w:rFonts w:hint="eastAsia"/>
          <w:lang w:val="en-US" w:eastAsia="zh-CN"/>
        </w:rPr>
      </w:pPr>
      <w:r>
        <w:rPr>
          <w:rFonts w:hint="eastAsia"/>
          <w:lang w:val="en-US" w:eastAsia="zh-CN"/>
        </w:rPr>
        <w:t>表2</w:t>
      </w:r>
    </w:p>
    <w:p>
      <w:pPr>
        <w:numPr>
          <w:ilvl w:val="0"/>
          <w:numId w:val="1"/>
        </w:numPr>
        <w:jc w:val="both"/>
        <w:rPr>
          <w:rFonts w:hint="eastAsia"/>
          <w:b/>
          <w:bCs/>
          <w:sz w:val="28"/>
          <w:szCs w:val="28"/>
          <w:lang w:val="en-US" w:eastAsia="zh-CN"/>
        </w:rPr>
      </w:pPr>
      <w:r>
        <w:rPr>
          <w:rFonts w:hint="eastAsia"/>
          <w:b/>
          <w:bCs/>
          <w:sz w:val="28"/>
          <w:szCs w:val="28"/>
          <w:lang w:val="en-US" w:eastAsia="zh-CN"/>
        </w:rPr>
        <w:t>总结</w:t>
      </w:r>
    </w:p>
    <w:p>
      <w:pPr>
        <w:numPr>
          <w:ilvl w:val="0"/>
          <w:numId w:val="0"/>
        </w:numPr>
        <w:ind w:firstLine="420" w:firstLineChars="0"/>
        <w:jc w:val="both"/>
        <w:rPr>
          <w:rFonts w:hint="eastAsia"/>
          <w:lang w:val="en-US" w:eastAsia="zh-CN"/>
        </w:rPr>
      </w:pPr>
      <w:r>
        <w:rPr>
          <w:rFonts w:hint="eastAsia"/>
          <w:lang w:val="en-US" w:eastAsia="zh-CN"/>
        </w:rPr>
        <w:t>本次实验结果表明TCN的结构在实体识别领域效果不理想。</w:t>
      </w:r>
    </w:p>
    <w:p>
      <w:pPr>
        <w:numPr>
          <w:ilvl w:val="0"/>
          <w:numId w:val="0"/>
        </w:numPr>
        <w:ind w:firstLine="420" w:firstLineChars="0"/>
        <w:jc w:val="both"/>
        <w:rPr>
          <w:rFonts w:hint="eastAsia"/>
          <w:lang w:val="en-US" w:eastAsia="zh-CN"/>
        </w:rPr>
      </w:pPr>
      <w:r>
        <w:rPr>
          <w:rFonts w:hint="eastAsia"/>
          <w:lang w:val="en-US" w:eastAsia="zh-CN"/>
        </w:rPr>
        <w:t>由于参考论文中未直接在实体识别领域进行实验，本次实验的超参数参考了其中比较相近的任务——词语级别的语言模型，所以超参数的设置还有待进一步实验。</w:t>
      </w:r>
    </w:p>
    <w:p>
      <w:pPr>
        <w:numPr>
          <w:ilvl w:val="0"/>
          <w:numId w:val="0"/>
        </w:numPr>
        <w:ind w:firstLine="420" w:firstLineChars="0"/>
        <w:jc w:val="both"/>
        <w:rPr>
          <w:rFonts w:hint="eastAsia"/>
          <w:lang w:val="en-US" w:eastAsia="zh-CN"/>
        </w:rPr>
      </w:pPr>
      <w:r>
        <w:rPr>
          <w:rFonts w:hint="eastAsia"/>
          <w:lang w:val="en-US" w:eastAsia="zh-CN"/>
        </w:rPr>
        <w:t>本次实验在CPU上进行，所以也无法充分发挥TCN结构的计算优势，但仍然相比于BILSTM节省了一半的时间。</w:t>
      </w:r>
    </w:p>
    <w:p>
      <w:pPr>
        <w:numPr>
          <w:ilvl w:val="0"/>
          <w:numId w:val="0"/>
        </w:numPr>
        <w:jc w:val="both"/>
        <w:rPr>
          <w:rFonts w:hint="eastAsia"/>
          <w:b/>
          <w:bCs/>
          <w:sz w:val="28"/>
          <w:szCs w:val="28"/>
          <w:lang w:val="en-US" w:eastAsia="zh-CN"/>
        </w:rPr>
      </w:pPr>
    </w:p>
    <w:p>
      <w:pPr>
        <w:numPr>
          <w:ilvl w:val="0"/>
          <w:numId w:val="1"/>
        </w:numPr>
        <w:jc w:val="both"/>
        <w:rPr>
          <w:rFonts w:hint="eastAsia"/>
          <w:b/>
          <w:bCs/>
          <w:sz w:val="28"/>
          <w:szCs w:val="28"/>
          <w:lang w:val="en-US" w:eastAsia="zh-CN"/>
        </w:rPr>
      </w:pPr>
      <w:r>
        <w:rPr>
          <w:rFonts w:hint="eastAsia"/>
          <w:b/>
          <w:bCs/>
          <w:sz w:val="28"/>
          <w:szCs w:val="28"/>
          <w:lang w:val="en-US" w:eastAsia="zh-CN"/>
        </w:rPr>
        <w:t>参考文献</w:t>
      </w:r>
    </w:p>
    <w:p>
      <w:pPr>
        <w:numPr>
          <w:numId w:val="0"/>
        </w:numPr>
        <w:jc w:val="both"/>
        <w:rPr>
          <w:rFonts w:hint="eastAsia"/>
          <w:b/>
          <w:bCs/>
          <w:sz w:val="28"/>
          <w:szCs w:val="28"/>
          <w:lang w:val="en-US" w:eastAsia="zh-CN"/>
        </w:rPr>
      </w:pPr>
      <w:r>
        <w:rPr>
          <w:rFonts w:hint="eastAsia" w:ascii="Arial" w:hAnsi="Arial" w:eastAsia="宋体" w:cs="Arial"/>
          <w:i w:val="0"/>
          <w:caps w:val="0"/>
          <w:color w:val="000000"/>
          <w:spacing w:val="0"/>
          <w:sz w:val="19"/>
          <w:szCs w:val="19"/>
          <w:u w:val="none"/>
          <w:lang w:val="en-US" w:eastAsia="zh-CN"/>
        </w:rPr>
        <w:t>1.</w:t>
      </w:r>
      <w:r>
        <w:rPr>
          <w:rFonts w:ascii="Arial" w:hAnsi="Arial" w:eastAsia="宋体" w:cs="Arial"/>
          <w:i w:val="0"/>
          <w:caps w:val="0"/>
          <w:color w:val="000000"/>
          <w:spacing w:val="0"/>
          <w:sz w:val="19"/>
          <w:szCs w:val="19"/>
          <w:u w:val="none"/>
        </w:rPr>
        <w:t xml:space="preserve">He </w:t>
      </w:r>
      <w:r>
        <w:rPr>
          <w:rFonts w:ascii="Arial" w:hAnsi="Arial" w:eastAsia="宋体" w:cs="Arial"/>
          <w:i w:val="0"/>
          <w:caps w:val="0"/>
          <w:color w:val="000000"/>
          <w:spacing w:val="0"/>
          <w:sz w:val="19"/>
          <w:szCs w:val="19"/>
          <w:u w:val="none"/>
        </w:rPr>
        <w:t>K, Zhang X, Ren S, et al. Deep Residual Learning for Image Recognition[J]. 2015:770-778.</w:t>
      </w:r>
    </w:p>
    <w:p>
      <w:pPr>
        <w:numPr>
          <w:numId w:val="0"/>
        </w:numPr>
        <w:jc w:val="both"/>
        <w:rPr>
          <w:rFonts w:hint="eastAsia"/>
          <w:b/>
          <w:bCs/>
          <w:sz w:val="28"/>
          <w:szCs w:val="28"/>
          <w:lang w:val="en-US" w:eastAsia="zh-CN"/>
        </w:rPr>
      </w:pPr>
      <w:r>
        <w:rPr>
          <w:rFonts w:hint="eastAsia" w:ascii="Arial" w:hAnsi="Arial" w:eastAsia="宋体" w:cs="Arial"/>
          <w:i w:val="0"/>
          <w:caps w:val="0"/>
          <w:color w:val="000000"/>
          <w:spacing w:val="0"/>
          <w:sz w:val="19"/>
          <w:szCs w:val="19"/>
          <w:u w:val="none"/>
          <w:lang w:val="en-US" w:eastAsia="zh-CN"/>
        </w:rPr>
        <w:t>2.</w:t>
      </w:r>
      <w:r>
        <w:rPr>
          <w:rFonts w:ascii="Arial" w:hAnsi="Arial" w:eastAsia="宋体" w:cs="Arial"/>
          <w:i w:val="0"/>
          <w:caps w:val="0"/>
          <w:color w:val="000000"/>
          <w:spacing w:val="0"/>
          <w:sz w:val="19"/>
          <w:szCs w:val="19"/>
          <w:u w:val="none"/>
        </w:rPr>
        <w:t>Y</w:t>
      </w:r>
      <w:r>
        <w:rPr>
          <w:rFonts w:ascii="Arial" w:hAnsi="Arial" w:eastAsia="宋体" w:cs="Arial"/>
          <w:i w:val="0"/>
          <w:caps w:val="0"/>
          <w:color w:val="000000"/>
          <w:spacing w:val="0"/>
          <w:sz w:val="19"/>
          <w:szCs w:val="19"/>
          <w:u w:val="none"/>
        </w:rPr>
        <w:t>u, Fisher, Koltun, Vladlen. Multi-Scale Context Aggregation by Dilated Convolutions[J]. 2015.</w:t>
      </w:r>
    </w:p>
    <w:p>
      <w:pPr>
        <w:numPr>
          <w:ilvl w:val="0"/>
          <w:numId w:val="0"/>
        </w:numPr>
        <w:jc w:val="both"/>
        <w:rPr>
          <w:rFonts w:hint="eastAsia" w:ascii="Arial" w:hAnsi="Arial" w:eastAsia="宋体" w:cs="Arial"/>
          <w:i w:val="0"/>
          <w:caps w:val="0"/>
          <w:color w:val="000000"/>
          <w:spacing w:val="0"/>
          <w:sz w:val="19"/>
          <w:szCs w:val="19"/>
          <w:u w:val="none"/>
          <w:lang w:val="en-US" w:eastAsia="zh-CN"/>
        </w:rPr>
      </w:pPr>
      <w:r>
        <w:rPr>
          <w:rFonts w:hint="eastAsia" w:ascii="Arial" w:hAnsi="Arial" w:eastAsia="宋体" w:cs="Arial"/>
          <w:i w:val="0"/>
          <w:caps w:val="0"/>
          <w:color w:val="000000"/>
          <w:spacing w:val="0"/>
          <w:sz w:val="19"/>
          <w:szCs w:val="19"/>
          <w:u w:val="none"/>
          <w:lang w:val="en-US" w:eastAsia="zh-CN"/>
        </w:rPr>
        <w:t>3.Bai S, Kolter J Z, Koltun V. An empirical evaluation of generic convolutional and recurrent networks for sequence modeling[J]. arXiv preprint arXiv:1803.01271, 2018.</w:t>
      </w:r>
    </w:p>
    <w:p>
      <w:pPr>
        <w:numPr>
          <w:ilvl w:val="0"/>
          <w:numId w:val="0"/>
        </w:numPr>
        <w:jc w:val="both"/>
        <w:rPr>
          <w:rFonts w:hint="eastAsia" w:ascii="Arial" w:hAnsi="Arial" w:eastAsia="宋体" w:cs="Arial"/>
          <w:i w:val="0"/>
          <w:caps w:val="0"/>
          <w:color w:val="000000"/>
          <w:spacing w:val="0"/>
          <w:sz w:val="19"/>
          <w:szCs w:val="19"/>
          <w:u w:val="none"/>
          <w:lang w:val="en-US" w:eastAsia="zh-CN"/>
        </w:rPr>
      </w:pPr>
      <w:r>
        <w:rPr>
          <w:rFonts w:hint="eastAsia" w:ascii="Arial" w:hAnsi="Arial" w:eastAsia="宋体" w:cs="Arial"/>
          <w:i w:val="0"/>
          <w:caps w:val="0"/>
          <w:color w:val="000000"/>
          <w:spacing w:val="0"/>
          <w:sz w:val="19"/>
          <w:szCs w:val="19"/>
          <w:u w:val="none"/>
          <w:lang w:val="en-US" w:eastAsia="zh-CN"/>
        </w:rPr>
        <w:t>3.</w:t>
      </w:r>
      <w:r>
        <w:rPr>
          <w:rFonts w:ascii="Arial" w:hAnsi="Arial" w:eastAsia="宋体" w:cs="Arial"/>
          <w:i w:val="0"/>
          <w:caps w:val="0"/>
          <w:color w:val="000000"/>
          <w:spacing w:val="0"/>
          <w:sz w:val="19"/>
          <w:szCs w:val="19"/>
          <w:u w:val="none"/>
        </w:rPr>
        <w:t>Lample G, Ballesteros M, Subramanian S, et al. Neural Architectures for Named Entity Recognition[J]. 2016:260-270.</w:t>
      </w:r>
    </w:p>
    <w:p>
      <w:pPr>
        <w:numPr>
          <w:numId w:val="0"/>
        </w:numPr>
        <w:jc w:val="both"/>
        <w:rPr>
          <w:rFonts w:hint="eastAsia"/>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7C07D1"/>
    <w:multiLevelType w:val="singleLevel"/>
    <w:tmpl w:val="907C07D1"/>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AF1EAB"/>
    <w:rsid w:val="008270A0"/>
    <w:rsid w:val="009C748E"/>
    <w:rsid w:val="00CB7027"/>
    <w:rsid w:val="0111265F"/>
    <w:rsid w:val="0145278D"/>
    <w:rsid w:val="03AE32C2"/>
    <w:rsid w:val="03D856A7"/>
    <w:rsid w:val="03F25B7A"/>
    <w:rsid w:val="05152498"/>
    <w:rsid w:val="052928DC"/>
    <w:rsid w:val="05CE1F4E"/>
    <w:rsid w:val="076746D1"/>
    <w:rsid w:val="08EB162B"/>
    <w:rsid w:val="099D0107"/>
    <w:rsid w:val="099E4A6F"/>
    <w:rsid w:val="09C73C64"/>
    <w:rsid w:val="0E622872"/>
    <w:rsid w:val="0EA6176C"/>
    <w:rsid w:val="11114B6A"/>
    <w:rsid w:val="119F7A07"/>
    <w:rsid w:val="11C10F24"/>
    <w:rsid w:val="122A141D"/>
    <w:rsid w:val="12714DF9"/>
    <w:rsid w:val="1290136E"/>
    <w:rsid w:val="12B11DE6"/>
    <w:rsid w:val="13A1461B"/>
    <w:rsid w:val="14540A45"/>
    <w:rsid w:val="15675324"/>
    <w:rsid w:val="157976D8"/>
    <w:rsid w:val="168E57D9"/>
    <w:rsid w:val="18F75689"/>
    <w:rsid w:val="19725EF2"/>
    <w:rsid w:val="199C5BDD"/>
    <w:rsid w:val="1A1E4758"/>
    <w:rsid w:val="1A6831A6"/>
    <w:rsid w:val="1AE629C9"/>
    <w:rsid w:val="1BD155C0"/>
    <w:rsid w:val="1D5B59A9"/>
    <w:rsid w:val="1DE75CBE"/>
    <w:rsid w:val="1E9E70C2"/>
    <w:rsid w:val="1EC70E81"/>
    <w:rsid w:val="20077B9B"/>
    <w:rsid w:val="21363CCA"/>
    <w:rsid w:val="22104A45"/>
    <w:rsid w:val="22B50D37"/>
    <w:rsid w:val="233E7FAE"/>
    <w:rsid w:val="24C44FAD"/>
    <w:rsid w:val="25BB14F9"/>
    <w:rsid w:val="25D27014"/>
    <w:rsid w:val="2738364A"/>
    <w:rsid w:val="29F814FB"/>
    <w:rsid w:val="2AB02FA9"/>
    <w:rsid w:val="2B5F2658"/>
    <w:rsid w:val="2C1314AE"/>
    <w:rsid w:val="2C7A2C4C"/>
    <w:rsid w:val="2D305FBC"/>
    <w:rsid w:val="2DE06743"/>
    <w:rsid w:val="2E8F4AD4"/>
    <w:rsid w:val="2F3B58EB"/>
    <w:rsid w:val="2F7D1AE6"/>
    <w:rsid w:val="2FC12C33"/>
    <w:rsid w:val="2FCD705D"/>
    <w:rsid w:val="30443CA0"/>
    <w:rsid w:val="30B312EE"/>
    <w:rsid w:val="32024BBE"/>
    <w:rsid w:val="32B748DC"/>
    <w:rsid w:val="32B9753E"/>
    <w:rsid w:val="33233161"/>
    <w:rsid w:val="38244108"/>
    <w:rsid w:val="383A2810"/>
    <w:rsid w:val="39396D30"/>
    <w:rsid w:val="3968145C"/>
    <w:rsid w:val="3B925D76"/>
    <w:rsid w:val="3D013C75"/>
    <w:rsid w:val="3E1F16B9"/>
    <w:rsid w:val="3E2C307C"/>
    <w:rsid w:val="3E7010FA"/>
    <w:rsid w:val="3EBC113D"/>
    <w:rsid w:val="405F39A0"/>
    <w:rsid w:val="410852DF"/>
    <w:rsid w:val="41331209"/>
    <w:rsid w:val="416E7CF6"/>
    <w:rsid w:val="41FD645D"/>
    <w:rsid w:val="42C7359E"/>
    <w:rsid w:val="44D97302"/>
    <w:rsid w:val="45283957"/>
    <w:rsid w:val="476C3BF7"/>
    <w:rsid w:val="479F4FDD"/>
    <w:rsid w:val="484076AC"/>
    <w:rsid w:val="48744C69"/>
    <w:rsid w:val="488A794D"/>
    <w:rsid w:val="4A251956"/>
    <w:rsid w:val="4B9D6A3E"/>
    <w:rsid w:val="4C03178C"/>
    <w:rsid w:val="4C2A4D71"/>
    <w:rsid w:val="4CA72FC2"/>
    <w:rsid w:val="4CC72350"/>
    <w:rsid w:val="4D0040DE"/>
    <w:rsid w:val="4D99075C"/>
    <w:rsid w:val="4D9A505B"/>
    <w:rsid w:val="4E6901CB"/>
    <w:rsid w:val="502A675E"/>
    <w:rsid w:val="5368351E"/>
    <w:rsid w:val="53EE0C8A"/>
    <w:rsid w:val="548A2F9C"/>
    <w:rsid w:val="566B1270"/>
    <w:rsid w:val="5684726F"/>
    <w:rsid w:val="568934D0"/>
    <w:rsid w:val="56EA5D63"/>
    <w:rsid w:val="597F2091"/>
    <w:rsid w:val="5AA27CF0"/>
    <w:rsid w:val="5AF56C13"/>
    <w:rsid w:val="5B4E0F03"/>
    <w:rsid w:val="5B886D15"/>
    <w:rsid w:val="5C8C2A08"/>
    <w:rsid w:val="5CAF1EAB"/>
    <w:rsid w:val="5CCB727E"/>
    <w:rsid w:val="5E52408B"/>
    <w:rsid w:val="5ED37C82"/>
    <w:rsid w:val="60A215D5"/>
    <w:rsid w:val="61AB6E1F"/>
    <w:rsid w:val="62884686"/>
    <w:rsid w:val="629825E4"/>
    <w:rsid w:val="62E47813"/>
    <w:rsid w:val="631831CC"/>
    <w:rsid w:val="63366431"/>
    <w:rsid w:val="668B6FD3"/>
    <w:rsid w:val="674765CD"/>
    <w:rsid w:val="676C58F2"/>
    <w:rsid w:val="67D0173D"/>
    <w:rsid w:val="67F00594"/>
    <w:rsid w:val="68345F5B"/>
    <w:rsid w:val="6AEE2D16"/>
    <w:rsid w:val="6D3F19CE"/>
    <w:rsid w:val="6E0D7E91"/>
    <w:rsid w:val="6FC24570"/>
    <w:rsid w:val="71660F47"/>
    <w:rsid w:val="7228291A"/>
    <w:rsid w:val="75825185"/>
    <w:rsid w:val="75D9349F"/>
    <w:rsid w:val="77F96389"/>
    <w:rsid w:val="78DE7A1D"/>
    <w:rsid w:val="79105AE3"/>
    <w:rsid w:val="7ADD5378"/>
    <w:rsid w:val="7ADF523E"/>
    <w:rsid w:val="7AE215F2"/>
    <w:rsid w:val="7BDE412A"/>
    <w:rsid w:val="7C83307E"/>
    <w:rsid w:val="7CA54867"/>
    <w:rsid w:val="7DAC145E"/>
    <w:rsid w:val="7F6804EB"/>
    <w:rsid w:val="7FDE0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tbRl"/>
    </w:tc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2018-06-13T13:43:00Z</dcterms:created>
  <dc:creator>Hu Anwen</dc:creator>
  <cp:lastModifiedBy>Hu Anwen</cp:lastModifiedBy>
  <dcterms:modified xsi:type="dcterms:W3CDTF">2018-06-14T02:58:41Z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