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1762125" cy="31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color w:val="111827"/>
          <w:sz w:val="36"/>
          <w:szCs w:val="36"/>
        </w:rPr>
        <w:t xml:space="preserve">Nabídka NAB-26-VZOR</w:t>
      </w:r>
    </w:p>
    <w:p>
      <w:pPr>
        <w:spacing w:after="120"/>
      </w:pPr>
      <w:r>
        <w:rPr>
          <w:color w:val="334155"/>
          <w:sz w:val="24"/>
          <w:szCs w:val="24"/>
        </w:rPr>
        <w:t xml:space="preserve">FVE - rodinný dům 10,2 kWp</w:t>
      </w:r>
    </w:p>
    <w:p>
      <w:pPr>
        <w:spacing w:after="110"/>
      </w:pPr>
      <w:r>
        <w:rPr>
          <w:b/>
          <w:bCs/>
          <w:color w:val="111827"/>
          <w:sz w:val="20"/>
          <w:szCs w:val="20"/>
        </w:rPr>
        <w:t xml:space="preserve">Klient: Vzorový klient s.r.o.</w:t>
      </w:r>
    </w:p>
    <w:p>
      <w:pPr>
        <w:spacing w:after="110"/>
      </w:pPr>
      <w:r>
        <w:rPr>
          <w:color w:val="111827"/>
          <w:sz w:val="20"/>
          <w:szCs w:val="20"/>
        </w:rPr>
        <w:t xml:space="preserve">Projekt: FVE - vzorová instalace</w:t>
      </w:r>
    </w:p>
    <w:p>
      <w:pPr>
        <w:spacing w:after="110"/>
      </w:pPr>
      <w:r>
        <w:rPr>
          <w:color w:val="111827"/>
          <w:sz w:val="20"/>
          <w:szCs w:val="20"/>
        </w:rPr>
        <w:t xml:space="preserve">Návrh dodávky fotovoltaické elektrárny včetně baterie, montáže, revize a předávací dokumentace.</w:t>
      </w:r>
    </w:p>
    <w:p>
      <w:pPr>
        <w:pStyle w:val="Heading2"/>
        <w:spacing w:after="100" w:before="220"/>
      </w:pPr>
      <w:r>
        <w:rPr>
          <w:b/>
          <w:bCs/>
          <w:color w:val="111827"/>
          <w:sz w:val="25"/>
          <w:szCs w:val="25"/>
        </w:rPr>
        <w:t xml:space="preserve">Položkový rozpočet</w:t>
      </w:r>
    </w:p>
    <w:tbl>
      <w:tblPr>
        <w:tblW w:type="pct" w:w="100%"/>
        <w:tblBorders>
          <w:top w:val="single" w:color="D8E0EB" w:sz="1"/>
          <w:left w:val="single" w:color="D8E0EB" w:sz="1"/>
          <w:bottom w:val="single" w:color="D8E0EB" w:sz="1"/>
          <w:right w:val="single" w:color="D8E0EB" w:sz="1"/>
          <w:insideH w:val="single" w:color="EDF1F7" w:sz="1"/>
          <w:insideV w:val="single" w:color="EDF1F7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EEF3F9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pct" w:w="12%"/>
            <w:shd w:fill="EEF3F9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Kód</w:t>
            </w:r>
          </w:p>
        </w:tc>
        <w:tc>
          <w:tcPr>
            <w:tcW w:type="pct" w:w="35%"/>
            <w:shd w:fill="EEF3F9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Název</w:t>
            </w:r>
          </w:p>
        </w:tc>
        <w:tc>
          <w:tcPr>
            <w:tcW w:type="pct" w:w="12%"/>
            <w:shd w:fill="EEF3F9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Množství</w:t>
            </w:r>
          </w:p>
        </w:tc>
        <w:tc>
          <w:tcPr>
            <w:tcW w:type="pct" w:w="16%"/>
            <w:shd w:fill="EEF3F9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Jedn. cena</w:t>
            </w:r>
          </w:p>
        </w:tc>
        <w:tc>
          <w:tcPr>
            <w:tcW w:type="pct" w:w="20%"/>
            <w:shd w:fill="EEF3F9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Celkem</w:t>
            </w:r>
          </w:p>
        </w:tc>
      </w:tr>
      <w:tr>
        <w:tc>
          <w:tcPr>
            <w:tcW w:type="pct" w:w="5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color w:val="111827"/>
                <w:sz w:val="18"/>
                <w:szCs w:val="18"/>
              </w:rPr>
              <w:t xml:space="preserve">SET-FVE-001</w:t>
            </w:r>
          </w:p>
        </w:tc>
        <w:tc>
          <w:tcPr>
            <w:tcW w:type="pct" w:w="35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color w:val="111827"/>
                <w:sz w:val="18"/>
                <w:szCs w:val="18"/>
              </w:rPr>
              <w:t xml:space="preserve">FVE sestava 10,2 kWp - panely, konstrukce, DC část</w:t>
            </w:r>
          </w:p>
        </w:tc>
        <w:tc>
          <w:tcPr>
            <w:tcW w:type="pct" w:w="12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color w:val="111827"/>
                <w:sz w:val="18"/>
                <w:szCs w:val="18"/>
              </w:rPr>
              <w:t xml:space="preserve">1 kpl</w:t>
            </w:r>
          </w:p>
        </w:tc>
        <w:tc>
          <w:tcPr>
            <w:tcW w:type="pct" w:w="16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color w:val="111827"/>
                <w:sz w:val="18"/>
                <w:szCs w:val="18"/>
              </w:rPr>
              <w:t xml:space="preserve">248 000,00 Kč</w:t>
            </w:r>
          </w:p>
        </w:tc>
        <w:tc>
          <w:tcPr>
            <w:tcW w:type="pct" w:w="20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color w:val="111827"/>
                <w:sz w:val="18"/>
                <w:szCs w:val="18"/>
              </w:rPr>
              <w:t xml:space="preserve">248 000,00 Kč</w:t>
            </w:r>
          </w:p>
        </w:tc>
      </w:tr>
      <w:tr>
        <w:tc>
          <w:tcPr>
            <w:tcW w:type="pct" w:w="5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color w:val="111827"/>
                <w:sz w:val="18"/>
                <w:szCs w:val="18"/>
              </w:rPr>
              <w:t xml:space="preserve">INV-SOLAX-012</w:t>
            </w:r>
          </w:p>
        </w:tc>
        <w:tc>
          <w:tcPr>
            <w:tcW w:type="pct" w:w="35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color w:val="111827"/>
                <w:sz w:val="18"/>
                <w:szCs w:val="18"/>
              </w:rPr>
              <w:t xml:space="preserve">Střídač SolaX X3-Hybrid včetně konfigurace</w:t>
            </w:r>
          </w:p>
        </w:tc>
        <w:tc>
          <w:tcPr>
            <w:tcW w:type="pct" w:w="12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color w:val="111827"/>
                <w:sz w:val="18"/>
                <w:szCs w:val="18"/>
              </w:rPr>
              <w:t xml:space="preserve">1 ks</w:t>
            </w:r>
          </w:p>
        </w:tc>
        <w:tc>
          <w:tcPr>
            <w:tcW w:type="pct" w:w="16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color w:val="111827"/>
                <w:sz w:val="18"/>
                <w:szCs w:val="18"/>
              </w:rPr>
              <w:t xml:space="preserve">78 000,00 Kč</w:t>
            </w:r>
          </w:p>
        </w:tc>
        <w:tc>
          <w:tcPr>
            <w:tcW w:type="pct" w:w="20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color w:val="111827"/>
                <w:sz w:val="18"/>
                <w:szCs w:val="18"/>
              </w:rPr>
              <w:t xml:space="preserve">75 660,00 Kč</w:t>
            </w:r>
          </w:p>
        </w:tc>
      </w:tr>
      <w:tr>
        <w:tc>
          <w:tcPr>
            <w:tcW w:type="pct" w:w="5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color w:val="111827"/>
                <w:sz w:val="18"/>
                <w:szCs w:val="18"/>
              </w:rPr>
              <w:t xml:space="preserve">BAT-SOLAX-011</w:t>
            </w:r>
          </w:p>
        </w:tc>
        <w:tc>
          <w:tcPr>
            <w:tcW w:type="pct" w:w="35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color w:val="111827"/>
                <w:sz w:val="18"/>
                <w:szCs w:val="18"/>
              </w:rPr>
              <w:t xml:space="preserve">Bateriové úložiště 11,6 kWh</w:t>
            </w:r>
          </w:p>
        </w:tc>
        <w:tc>
          <w:tcPr>
            <w:tcW w:type="pct" w:w="12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color w:val="111827"/>
                <w:sz w:val="18"/>
                <w:szCs w:val="18"/>
              </w:rPr>
              <w:t xml:space="preserve">1 ks</w:t>
            </w:r>
          </w:p>
        </w:tc>
        <w:tc>
          <w:tcPr>
            <w:tcW w:type="pct" w:w="16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color w:val="111827"/>
                <w:sz w:val="18"/>
                <w:szCs w:val="18"/>
              </w:rPr>
              <w:t xml:space="preserve">126 500,00 Kč</w:t>
            </w:r>
          </w:p>
        </w:tc>
        <w:tc>
          <w:tcPr>
            <w:tcW w:type="pct" w:w="20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color w:val="111827"/>
                <w:sz w:val="18"/>
                <w:szCs w:val="18"/>
              </w:rPr>
              <w:t xml:space="preserve">126 500,00 Kč</w:t>
            </w:r>
          </w:p>
        </w:tc>
      </w:tr>
      <w:tr>
        <w:tc>
          <w:tcPr>
            <w:tcW w:type="pct" w:w="5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color w:val="111827"/>
                <w:sz w:val="18"/>
                <w:szCs w:val="18"/>
              </w:rPr>
              <w:t xml:space="preserve">INST-FVE</w:t>
            </w:r>
          </w:p>
        </w:tc>
        <w:tc>
          <w:tcPr>
            <w:tcW w:type="pct" w:w="35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color w:val="111827"/>
                <w:sz w:val="18"/>
                <w:szCs w:val="18"/>
              </w:rPr>
              <w:t xml:space="preserve">Montáž, revize a předávací dokumentace</w:t>
            </w:r>
          </w:p>
        </w:tc>
        <w:tc>
          <w:tcPr>
            <w:tcW w:type="pct" w:w="12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color w:val="111827"/>
                <w:sz w:val="18"/>
                <w:szCs w:val="18"/>
              </w:rPr>
              <w:t xml:space="preserve">1 kpl</w:t>
            </w:r>
          </w:p>
        </w:tc>
        <w:tc>
          <w:tcPr>
            <w:tcW w:type="pct" w:w="16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color w:val="111827"/>
                <w:sz w:val="18"/>
                <w:szCs w:val="18"/>
              </w:rPr>
              <w:t xml:space="preserve">89 000,00 Kč</w:t>
            </w:r>
          </w:p>
        </w:tc>
        <w:tc>
          <w:tcPr>
            <w:tcW w:type="pct" w:w="20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color w:val="111827"/>
                <w:sz w:val="18"/>
                <w:szCs w:val="18"/>
              </w:rPr>
              <w:t xml:space="preserve">89 000,00 Kč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11827"/>
          <w:sz w:val="25"/>
          <w:szCs w:val="25"/>
        </w:rPr>
        <w:t xml:space="preserve">Souhrn nabídky</w:t>
      </w:r>
    </w:p>
    <w:tbl>
      <w:tblPr>
        <w:tblW w:type="pct" w:w="58%"/>
        <w:jc w:val="right"/>
        <w:tblBorders>
          <w:top w:val="single" w:color="D8E0EB" w:sz="1"/>
          <w:left w:val="single" w:color="D8E0EB" w:sz="1"/>
          <w:bottom w:val="single" w:color="D8E0EB" w:sz="1"/>
          <w:right w:val="single" w:color="D8E0EB" w:sz="1"/>
          <w:insideH w:val="single" w:color="EDF1F7" w:sz="1"/>
          <w:insideV w:val="single" w:color="EDF1F7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color w:val="111827"/>
                <w:sz w:val="18"/>
                <w:szCs w:val="18"/>
              </w:rPr>
              <w:t xml:space="preserve">Před slevou</w:t>
            </w:r>
          </w:p>
        </w:tc>
        <w:tc>
          <w:tcPr>
            <w:tcW w:type="pct" w:w="50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color w:val="111827"/>
                <w:sz w:val="18"/>
                <w:szCs w:val="18"/>
              </w:rPr>
              <w:t xml:space="preserve">541 500,00 Kč</w:t>
            </w:r>
          </w:p>
        </w:tc>
      </w:tr>
      <w:tr>
        <w:tc>
          <w:tcPr>
            <w:tcW w:type="pct" w:w="50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color w:val="111827"/>
                <w:sz w:val="18"/>
                <w:szCs w:val="18"/>
              </w:rPr>
              <w:t xml:space="preserve">Sleva</w:t>
            </w:r>
          </w:p>
        </w:tc>
        <w:tc>
          <w:tcPr>
            <w:tcW w:type="pct" w:w="50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color w:val="111827"/>
                <w:sz w:val="18"/>
                <w:szCs w:val="18"/>
              </w:rPr>
              <w:t xml:space="preserve">2 340,00 Kč</w:t>
            </w:r>
          </w:p>
        </w:tc>
      </w:tr>
      <w:tr>
        <w:tc>
          <w:tcPr>
            <w:tcW w:type="pct" w:w="50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color w:val="111827"/>
                <w:sz w:val="18"/>
                <w:szCs w:val="18"/>
              </w:rPr>
              <w:t xml:space="preserve">DPH</w:t>
            </w:r>
          </w:p>
        </w:tc>
        <w:tc>
          <w:tcPr>
            <w:tcW w:type="pct" w:w="50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color w:val="111827"/>
                <w:sz w:val="18"/>
                <w:szCs w:val="18"/>
              </w:rPr>
              <w:t xml:space="preserve">113 223,60 Kč</w:t>
            </w:r>
          </w:p>
        </w:tc>
      </w:tr>
      <w:tr>
        <w:tc>
          <w:tcPr>
            <w:tcW w:type="pct" w:w="50%"/>
            <w:shd w:fill="153B82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Celkem s DPH</w:t>
            </w:r>
          </w:p>
        </w:tc>
        <w:tc>
          <w:tcPr>
            <w:tcW w:type="pct" w:w="50%"/>
            <w:shd w:fill="153B82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652 383,60 Kč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11827"/>
          <w:sz w:val="25"/>
          <w:szCs w:val="25"/>
        </w:rPr>
        <w:t xml:space="preserve">Akceptace nabídky</w:t>
      </w:r>
    </w:p>
    <w:tbl>
      <w:tblPr>
        <w:tblW w:type="pct" w:w="100%"/>
        <w:tblBorders>
          <w:top w:val="single" w:color="D8E0EB" w:sz="1"/>
          <w:left w:val="single" w:color="D8E0EB" w:sz="1"/>
          <w:bottom w:val="single" w:color="D8E0EB" w:sz="1"/>
          <w:right w:val="single" w:color="D8E0EB" w:sz="1"/>
          <w:insideH w:val="single" w:color="EDF1F7" w:sz="1"/>
          <w:insideV w:val="single" w:color="EDF1F7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color w:val="111827"/>
                <w:sz w:val="18"/>
                <w:szCs w:val="18"/>
              </w:rPr>
              <w:t xml:space="preserve">Vzorový klient s.r.o.
Datum, jméno a podpis</w:t>
            </w:r>
          </w:p>
        </w:tc>
        <w:tc>
          <w:tcPr>
            <w:tcW w:type="pct" w:w="50%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color w:val="111827"/>
                <w:sz w:val="18"/>
                <w:szCs w:val="18"/>
              </w:rPr>
              <w:t xml:space="preserve">EKV Project s.r.o.
Datum, jméno a podpis</w:t>
            </w:r>
          </w:p>
        </w:tc>
      </w:tr>
    </w:tbl>
    <w:p>
      <w:pPr>
        <w:spacing w:before="260"/>
      </w:pPr>
      <w:r>
        <w:rPr>
          <w:color w:val="667085"/>
          <w:sz w:val="17"/>
          <w:szCs w:val="17"/>
        </w:rPr>
        <w:t xml:space="preserve">Vygenerováno: 5. 7. 2026 | ID origin?lu: EKV-OFFER-NAB26VZOR-X9K42A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8e98e53da83976eb6786d9ae28c3089b74f03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2026-07-05T13:29:23.766Z</dcterms:created>
  <dcterms:modified xsi:type="dcterms:W3CDTF">2026-07-05T13:29:23.766Z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