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Licencia de los pesos HYDRA Base</w:t>
      </w:r>
    </w:p>
    <w:p>
      <w:r>
        <w:t>Borrador para HYDRA Base · 2 de octubre de 2026</w:t>
      </w:r>
    </w:p>
    <w:p>
      <w:r>
        <w:t>Este documento establece las condiciones propuestas de acceso y uso de HYDRA Base con reserva de derechos. Se mantiene como borrador y deberá someterse a revisión jurídica antes de la comercialización de HYDRA Base. No concede por sí mismo una autorización de uso.</w:t>
      </w:r>
    </w:p>
    <w:p>
      <w:pPr>
        <w:pStyle w:val="Heading1"/>
      </w:pPr>
      <w:r>
        <w:t>1 Objeto y ámbito</w:t>
      </w:r>
    </w:p>
    <w:p>
      <w:r>
        <w:t>«HYDRA Base» comprende los parámetros o pesos, el tokenizador, la configuración, los checkpoints intermedios y los manifiestos de entrenamiento de los modelos base entrenados desde cero por Luis Manuel Cousido Hermida (el «Titular»), identificados en el acuerdo de autorización y en el manifiesto de cada versión (el «Modelo»). Incluye sus versiones cuantizadas, convertidas o ajustadas, sin perjuicio de los derechos que puedan corresponder a terceros sobre sus aportaciones.</w:t>
      </w:r>
    </w:p>
    <w:p>
      <w:r>
        <w:t>Esta licencia se aplica exclusivamente a HYDRA Base y a las versiones comprendidas en la definición anterior.</w:t>
      </w:r>
    </w:p>
    <w:p>
      <w:pPr>
        <w:pStyle w:val="Heading1"/>
      </w:pPr>
      <w:r>
        <w:t>2 Reserva de derechos y titularidad</w:t>
      </w:r>
    </w:p>
    <w:p>
      <w:r>
        <w:t>El Titular se reserva los derechos que legalmente le correspondan sobre el Modelo. La protección como programa de ordenador, base de datos u otra obra dependerá de los requisitos de la legislación aplicable; este documento no presupone que todos los pesos estén protegidos automáticamente por esas categorías.</w:t>
      </w:r>
    </w:p>
    <w:p>
      <w:r>
        <w:t>Los artefactos confidenciales se protegerán como secreto empresarial únicamente mientras cumplan los requisitos de la Ley 1/2019, incluido su carácter secreto, su valor empresarial derivado de ese carácter y la adopción de medidas razonables de protección. Se respetan los derechos y las licencias de los datos, modelos y componentes de terceros.</w:t>
      </w:r>
    </w:p>
    <w:p>
      <w:pPr>
        <w:pStyle w:val="Heading1"/>
      </w:pPr>
      <w:r>
        <w:t>3 Autorización y relación con el repositorio</w:t>
      </w:r>
    </w:p>
    <w:p>
      <w:r>
        <w:t>La mera disponibilidad o posesión del Modelo no concede una licencia de uso. Cualquier autorización deberá constar en un acuerdo escrito firmado por el Titular y el usuario autorizado, con identificación de la versión, finalidad, modalidad de acceso, duración y usos permitidos. La autorización será no exclusiva y no transferible, salvo pacto expreso.</w:t>
      </w:r>
    </w:p>
    <w:p>
      <w:r>
        <w:t>Este documento complementa el LICENSE del repositorio. En relación con el Modelo, el acuerdo firmado podrá introducir excepciones expresas a estas condiciones y al LICENSE. Las licencias de terceros y las normas imperativas prevalecerán en su ámbito. La suspensión, revocación y terminación se regirán por el acuerdo y la cláusula 7.</w:t>
      </w:r>
    </w:p>
    <w:p>
      <w:pPr>
        <w:pStyle w:val="Heading1"/>
      </w:pPr>
      <w:r>
        <w:t>4 Restricciones de uso</w:t>
      </w:r>
    </w:p>
    <w:p>
      <w:r>
        <w:t>Salvo autorización expresa por escrito y con respeto a los derechos que la ley no permita limitar, el usuario autorizado no podrá:</w:t>
      </w:r>
    </w:p>
    <w:p>
      <w:r>
        <w:t>a) Copiar el Modelo, salvo las copias indispensables para el uso autorizado; distribuirlo, publicarlo, sublicenciarlo, venderlo o poner sus artefactos a disposición de terceros, incluidos repositorios de modelos y redes P2P.</w:t>
      </w:r>
    </w:p>
    <w:p>
      <w:r>
        <w:t>b) Extraer, reconstruir o intentar reproducir sus pesos mediante ingeniería inversa, extracción por consultas u otras técnicas dirigidas a obtener una réplica del Modelo.</w:t>
      </w:r>
    </w:p>
    <w:p>
      <w:r>
        <w:t>c) Utilizar sus salidas como datos o señales de entrenamiento, destilación o evaluación destinada a mejorar un modelo que sustituya o compita con HYDRA en la finalidad autorizada. El acuerdo deberá concretar el alcance de esta restricción.</w:t>
      </w:r>
    </w:p>
    <w:p>
      <w:r>
        <w:t>d) Eliminar, alterar u ocultar avisos de titularidad, huellas, marcas de agua o firmas criptográficas; cuando una transformación autorizada afecte a estos elementos, deberá acordarse su conservación o sustitución.</w:t>
      </w:r>
    </w:p>
    <w:p>
      <w:r>
        <w:t>e) Atribuir el Modelo a terceros, ocultar su procedencia o presentarlo como una creación propia. Deberá conservarse la referencia a HYDRA Base en sus avisos; esta obligación no concede permiso para utilizar nombres o logotipos como marca del producto o como respaldo comercial.</w:t>
      </w:r>
    </w:p>
    <w:p>
      <w:r>
        <w:t>f) Usar el Modelo para fines ilícitos o incumpliendo las obligaciones que correspondan al usuario conforme a la normativa aplicable, incluido el Reglamento de Inteligencia Artificial.</w:t>
      </w:r>
    </w:p>
    <w:p>
      <w:r>
        <w:br w:type="page"/>
      </w:r>
    </w:p>
    <w:p>
      <w:pPr>
        <w:pStyle w:val="Heading1"/>
      </w:pPr>
      <w:r>
        <w:t>5 Salidas y datos aportados</w:t>
      </w:r>
    </w:p>
    <w:p>
      <w:r>
        <w:t>Salvo pacto distinto, el usuario autorizado podrá utilizar las salidas generadas dentro de la finalidad y durante el uso autorizado, respetando la cláusula 4 c y los derechos de terceros. El Titular no reclama, por este documento, derechos sobre las aportaciones del usuario ni sobre las salidas por el mero hecho de haber sido generadas mediante el Modelo.</w:t>
      </w:r>
    </w:p>
    <w:p>
      <w:r>
        <w:t>No se garantiza la exactitud, exclusividad, protección jurídica ni ausencia de derechos de terceros sobre las salidas. El acuerdo del servicio deberá regular separadamente el tratamiento, conservación y eventual uso para entrenamiento de los datos aportados, incluidas las obligaciones de protección de datos personales.</w:t>
      </w:r>
    </w:p>
    <w:p>
      <w:pPr>
        <w:pStyle w:val="Heading1"/>
      </w:pPr>
      <w:r>
        <w:t>6 Acceso y confidencialidad</w:t>
      </w:r>
    </w:p>
    <w:p>
      <w:r>
        <w:t>El acceso se prestará preferentemente mediante la API de HYDRA. La autorización para consultar la API no implica entrega de pesos ni permiso para ofrecer acceso al Modelo a terceros, salvo pacto expreso.</w:t>
      </w:r>
    </w:p>
    <w:p>
      <w:r>
        <w:t>Si se entregan artefactos confidenciales, el receptor deberá mantenerlos cifrados en tránsito y en reposo, limitar el acceso a personal autorizado sujeto a confidencialidad y conservar un registro de accesos adecuado. Notificará al Titular sin demora indebida los incidentes que afecten a su seguridad.</w:t>
      </w:r>
    </w:p>
    <w:p>
      <w:r>
        <w:t>La obligación de confidencialidad no alcanzará a información que el receptor pruebe que era pública lícitamente, ya conocía sin deber de reserva, recibió legítimamente de un tercero o desarrolló de forma independiente. Podrá comunicarla cuando una norma o autoridad competente lo exija, limitando la comunicación a lo necesario y avisando al Titular cuando sea legalmente posible.</w:t>
      </w:r>
    </w:p>
    <w:p>
      <w:pPr>
        <w:pStyle w:val="Heading1"/>
      </w:pPr>
      <w:r>
        <w:t>7 Suspensión y terminación</w:t>
      </w:r>
    </w:p>
    <w:p>
      <w:r>
        <w:t>El incumplimiento de estas condiciones o del acuerdo podrá dar lugar a suspensión o terminación conforme al procedimiento pactado. La distribución, divulgación o extracción no autorizadas del Modelo darán lugar a terminación inmediata; para otros incumplimientos subsanables, el acuerdo deberá fijar notificación y plazo de subsanación. La revocación se ajustará a lo pactado y a la legislación aplicable.</w:t>
      </w:r>
    </w:p>
    <w:p>
      <w:r>
        <w:t>Al terminar, cesará el uso y se devolverán o destruirán los artefactos entregados y sus copias, con confirmación escrita. Las copias exigidas por ley y las copias de seguridad no eliminables de inmediato permanecerán aisladas, sin uso y protegidas hasta su eliminación conforme al plazo acordado. Subsistirán la reserva de derechos y las obligaciones de confidencialidad mientras corresponda. El acuerdo precisará el régimen de las salidas ya obtenidas.</w:t>
      </w:r>
    </w:p>
    <w:p>
      <w:pPr>
        <w:pStyle w:val="Heading1"/>
      </w:pPr>
      <w:r>
        <w:t>8 Garantías y responsabilidad</w:t>
      </w:r>
    </w:p>
    <w:p>
      <w:r>
        <w:t>El Modelo se proporciona «tal cual», sin garantías adicionales a las que exija la ley o recoja el acuerdo. Las exclusiones y limitaciones de responsabilidad operarán únicamente en la medida permitida por la legislación aplicable y no excluirán responsabilidades que no puedan limitarse válidamente. El acuerdo fijará, cuando proceda, un límite económico y sus excepciones.</w:t>
      </w:r>
    </w:p>
    <w:p>
      <w:pPr>
        <w:pStyle w:val="Heading1"/>
      </w:pPr>
      <w:r>
        <w:t>9 Ley aplicable y jurisdicción</w:t>
      </w:r>
    </w:p>
    <w:p>
      <w:r>
        <w:t>Se aplicará la legislación española, sin privar a los consumidores de las protecciones imperativas que les correspondan. Las controversias se someterán a los juzgados y tribunales de España que resulten competentes conforme a las normas aplicables. Cualquier pacto de sumisión territorial deberá constar en el acuerdo y ser legalmente válido.</w:t>
      </w:r>
    </w:p>
    <w:p>
      <w:pPr>
        <w:pStyle w:val="Heading1"/>
      </w:pPr>
      <w:r>
        <w:t>10 Política de datos y profesores</w:t>
      </w:r>
    </w:p>
    <w:p>
      <w:r>
        <w:t>Antes de autorizar una versión, deberán documentarse la procedencia de los datos y profesores, las condiciones efectivamente aplicables y el cumplimiento de las obligaciones conservadas. Una licencia permisiva o una etiqueta de dominio público no acredita por sí sola los derechos necesarios ni resuelve restricciones contractuales, derechos de terceros o protección de datos.</w:t>
      </w:r>
    </w:p>
    <w:p>
      <w:r>
        <w:t>El fichero hydra/training/base_data_policy.py contiene un filtro conservador por identificadores: rechaza licencias desconocidas y categorías restrictivas; admite una lista de fuentes permisivas y permite profesores etiquetados MIT o Apache-2.0. Este filtro es un control técnico auxiliar, no una garantía jurídica ni prueba de que todo el entrenamiento lo ejecute. Las condiciones del profesor, la API y los datos subyacentes deberán revisarse por separado. Los avisos y textos de licencia exigibles acompañarán a cada versión.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HYDRA Base · Borrador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Licencia de los pesos HYDRA Base</dc:title>
  <dc:subject>Condiciones de acceso y uso exclusivas de HYDRA Base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