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rPr>
          <w:trHeight w:val="14513"/>
          <w:trHeight w:val="14515" w:hRule="exact"/>
        </w:trPr>
        <w:tc>
          <w:tcPr>
            <w:tcW w:type="dxa" w:w="1928"/>
            <w:shd w:val="clear" w:fill="5B5BF5"/>
          </w:tcPr>
          <w:p>
            <w:r/>
          </w:p>
        </w:tc>
        <w:tc>
          <w:tcPr>
            <w:tcW w:type="dxa" w:w="7710"/>
          </w:tcPr>
          <w:p>
            <w:r/>
          </w:p>
          <w:p>
            <w:pPr>
              <w:spacing w:before="0" w:after="120"/>
              <w:jc w:val="right"/>
            </w:pPr>
            <w:r>
              <w:rPr>
                <w:b/>
                <w:i w:val="0"/>
                <w:color w:val="1C1C22"/>
                <w:sz w:val="22"/>
              </w:rPr>
              <w:t>Test Restaurant</w:t>
            </w:r>
          </w:p>
          <w:p/>
          <w:p/>
          <w:p/>
          <w:p/>
          <w:p/>
          <w:p>
            <w:pPr>
              <w:spacing w:before="0" w:after="40"/>
              <w:jc w:val="left"/>
            </w:pPr>
            <w:r>
              <w:rPr>
                <w:b/>
                <w:i w:val="0"/>
                <w:color w:val="2B2BD4"/>
                <w:sz w:val="60"/>
              </w:rPr>
              <w:t>Business Report</w:t>
            </w:r>
          </w:p>
          <w:p>
            <w:pPr>
              <w:spacing w:before="0" w:after="280"/>
              <w:jc w:val="left"/>
            </w:pPr>
            <w:r>
              <w:rPr>
                <w:b/>
                <w:i w:val="0"/>
                <w:color w:val="1C1C22"/>
                <w:sz w:val="34"/>
              </w:rPr>
              <w:t>Test Restaurant</w:t>
            </w:r>
          </w:p>
          <w:p>
            <w:pPr>
              <w:jc w:val="right"/>
            </w:pPr>
            <w:r>
              <w:rPr>
                <w:color w:val="5B5BF5"/>
                <w:sz w:val="18"/>
              </w:rPr>
              <w:t>▁▁▁▁▁▁▁▁▁▁▁▁</w:t>
            </w:r>
          </w:p>
          <w:p/>
          <w:p/>
          <w:p>
            <w:pPr>
              <w:spacing w:before="0" w:after="120"/>
              <w:jc w:val="right"/>
            </w:pPr>
            <w:r>
              <w:rPr>
                <w:b w:val="0"/>
                <w:i w:val="0"/>
                <w:color w:val="6B7080"/>
                <w:sz w:val="22"/>
              </w:rPr>
              <w:t>Food &amp; Beverage / Restaurant</w:t>
            </w:r>
          </w:p>
          <w:p>
            <w:pPr>
              <w:spacing w:before="0" w:after="120"/>
              <w:jc w:val="right"/>
            </w:pPr>
            <w:r>
              <w:rPr>
                <w:b w:val="0"/>
                <w:i w:val="0"/>
                <w:color w:val="6B7080"/>
                <w:sz w:val="22"/>
              </w:rPr>
              <w:t>Prepared: 23 July 2026</w:t>
            </w:r>
          </w:p>
          <w:p/>
          <w:p/>
          <w:p/>
          <w:p>
            <w:pPr>
              <w:spacing w:before="0" w:after="120"/>
              <w:jc w:val="right"/>
            </w:pPr>
            <w:r>
              <w:rPr>
                <w:b w:val="0"/>
                <w:i/>
                <w:color w:val="6B7080"/>
                <w:sz w:val="18"/>
              </w:rPr>
              <w:t>Prepared in accordance with professional Chartered Accountancy standards</w:t>
            </w:r>
          </w:p>
        </w:tc>
      </w:tr>
    </w:tbl>
    <w:p>
      <w:pPr>
        <w:pageBreakBefore/>
        <w:spacing w:before="440" w:after="80"/>
      </w:pPr>
      <w:r>
        <w:rPr>
          <w:b/>
          <w:color w:val="5B5BF5"/>
          <w:sz w:val="38"/>
        </w:rPr>
        <w:t>1. Executive Financial Snapshot</w:t>
      </w:r>
    </w:p>
    <w:p>
      <w:pPr>
        <w:spacing w:after="160"/>
      </w:pPr>
      <w:r>
        <w:rPr>
          <w:i/>
          <w:color w:val="6B7080"/>
          <w:sz w:val="18"/>
        </w:rPr>
        <w:t>The headline numbers and their five-year trajectory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val="clear" w:fill="5B5BF5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32"/>
              </w:rPr>
              <w:t>₹2.76 Cr</w:t>
            </w:r>
          </w:p>
        </w:tc>
        <w:tc>
          <w:tcPr>
            <w:tcW w:type="dxa" w:w="2578"/>
            <w:shd w:val="clear" w:fill="5B5BF5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32"/>
              </w:rPr>
              <w:t>₹1.07 Cr</w:t>
            </w:r>
          </w:p>
        </w:tc>
        <w:tc>
          <w:tcPr>
            <w:tcW w:type="dxa" w:w="2578"/>
            <w:shd w:val="clear" w:fill="5B5BF5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32"/>
              </w:rPr>
              <w:t>₹75.76 L</w:t>
            </w:r>
          </w:p>
        </w:tc>
        <w:tc>
          <w:tcPr>
            <w:tcW w:type="dxa" w:w="2578"/>
            <w:shd w:val="clear" w:fill="5B5BF5"/>
          </w:tcPr>
          <w:p>
            <w:pPr>
              <w:spacing w:before="120" w:after="120"/>
              <w:jc w:val="center"/>
            </w:pPr>
            <w:r/>
            <w:r>
              <w:rPr>
                <w:b/>
                <w:color w:val="FFFFFF"/>
                <w:sz w:val="32"/>
              </w:rPr>
              <w:t>5.65×</w:t>
            </w:r>
          </w:p>
        </w:tc>
      </w:tr>
      <w:tr>
        <w:tc>
          <w:tcPr>
            <w:tcW w:type="dxa" w:w="2578"/>
            <w:shd w:val="clear" w:fill="EFEFFB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color w:val="6B7080"/>
                <w:sz w:val="17"/>
              </w:rPr>
              <w:t>Revenue · Year 5</w:t>
            </w:r>
          </w:p>
        </w:tc>
        <w:tc>
          <w:tcPr>
            <w:tcW w:type="dxa" w:w="2578"/>
            <w:shd w:val="clear" w:fill="EFEFFB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color w:val="6B7080"/>
                <w:sz w:val="17"/>
              </w:rPr>
              <w:t>EBITDA · Year 5</w:t>
            </w:r>
          </w:p>
        </w:tc>
        <w:tc>
          <w:tcPr>
            <w:tcW w:type="dxa" w:w="2578"/>
            <w:shd w:val="clear" w:fill="EFEFFB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color w:val="6B7080"/>
                <w:sz w:val="17"/>
              </w:rPr>
              <w:t>PAT · Year 5</w:t>
            </w:r>
          </w:p>
        </w:tc>
        <w:tc>
          <w:tcPr>
            <w:tcW w:type="dxa" w:w="2578"/>
            <w:shd w:val="clear" w:fill="EFEFFB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color w:val="6B7080"/>
                <w:sz w:val="17"/>
              </w:rPr>
              <w:t>Average DSCR</w:t>
            </w:r>
          </w:p>
        </w:tc>
      </w:tr>
    </w:tbl>
    <w:p/>
    <w:p>
      <w:pPr>
        <w:spacing w:before="440" w:after="80"/>
      </w:pPr>
      <w:r>
        <w:rPr>
          <w:b/>
          <w:color w:val="5B5BF5"/>
          <w:sz w:val="38"/>
        </w:rPr>
        <w:t>2. Financial Summary</w:t>
      </w:r>
    </w:p>
    <w:p>
      <w:pPr>
        <w:spacing w:after="160"/>
      </w:pPr>
      <w:r>
        <w:rPr>
          <w:i/>
          <w:color w:val="6B7080"/>
          <w:sz w:val="18"/>
        </w:rPr>
        <w:t>Five-year projection — figures taken directly from the Excel model</w:t>
      </w:r>
    </w:p>
    <w:p>
      <w:pPr>
        <w:keepNext/>
        <w:spacing w:before="240" w:after="120"/>
        <w:jc w:val="center"/>
      </w:pPr>
      <w:r>
        <w:rPr>
          <w:b/>
          <w:color w:val="1C1C22"/>
          <w:sz w:val="24"/>
        </w:rPr>
        <w:t>Projected Financial Performance (₹)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val="clear" w:fill="5B5BF5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19"/>
              </w:rPr>
              <w:t>Particulars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1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2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3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4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5</w:t>
            </w:r>
          </w:p>
        </w:tc>
      </w:tr>
      <w:tr>
        <w:tc>
          <w:tcPr>
            <w:tcW w:type="dxa" w:w="1719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Net Sales / Revenue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₹1.62 Cr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₹1.87 Cr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₹2.14 Cr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₹2.44 Cr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₹2.76 Cr</w:t>
            </w:r>
          </w:p>
        </w:tc>
      </w:tr>
      <w:tr>
        <w:tc>
          <w:tcPr>
            <w:tcW w:type="dxa" w:w="1719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EBITDA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₹51.84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₹63.93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₹77.12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₹91.49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₹1.07 Cr</w:t>
            </w:r>
          </w:p>
        </w:tc>
      </w:tr>
      <w:tr>
        <w:tc>
          <w:tcPr>
            <w:tcW w:type="dxa" w:w="1719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EBIT (Operating Profit)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₹46.59 L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₹58.68 L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₹71.87 L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₹86.24 L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₹1.02 Cr</w:t>
            </w:r>
          </w:p>
        </w:tc>
      </w:tr>
      <w:tr>
        <w:tc>
          <w:tcPr>
            <w:tcW w:type="dxa" w:w="1719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Profit Before Tax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₹40.39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₹53.82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₹68.35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₹84.05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₹1.01 Cr</w:t>
            </w:r>
          </w:p>
        </w:tc>
      </w:tr>
      <w:tr>
        <w:tc>
          <w:tcPr>
            <w:tcW w:type="dxa" w:w="1719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Profit After Tax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₹30.29 L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₹40.37 L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₹51.26 L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₹63.04 L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₹75.76 L</w:t>
            </w:r>
          </w:p>
        </w:tc>
      </w:tr>
      <w:tr>
        <w:tc>
          <w:tcPr>
            <w:tcW w:type="dxa" w:w="1719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Cash Accrual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₹35.54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₹45.62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₹56.51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₹68.29 L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₹81.01 L</w:t>
            </w:r>
          </w:p>
        </w:tc>
      </w:tr>
    </w:tbl>
    <w:p/>
    <w:p>
      <w:pPr>
        <w:spacing w:before="440" w:after="80"/>
      </w:pPr>
      <w:r>
        <w:rPr>
          <w:b/>
          <w:color w:val="5B5BF5"/>
          <w:sz w:val="38"/>
        </w:rPr>
        <w:t>3. Key Financial Ratios</w:t>
      </w:r>
    </w:p>
    <w:p>
      <w:pPr>
        <w:keepNext/>
        <w:spacing w:before="240" w:after="120"/>
        <w:jc w:val="center"/>
      </w:pPr>
      <w:r>
        <w:rPr>
          <w:b/>
          <w:color w:val="1C1C22"/>
          <w:sz w:val="24"/>
        </w:rPr>
        <w:t>Viability and Coverage Ratios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val="clear" w:fill="5B5BF5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19"/>
              </w:rPr>
              <w:t>Ratio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1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2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3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4</w:t>
            </w:r>
          </w:p>
        </w:tc>
        <w:tc>
          <w:tcPr>
            <w:tcW w:type="dxa" w:w="1719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Year 5</w:t>
            </w:r>
          </w:p>
        </w:tc>
      </w:tr>
      <w:tr>
        <w:tc>
          <w:tcPr>
            <w:tcW w:type="dxa" w:w="1719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DSCR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2.43×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3.19×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4.14×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5.36×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13.13×</w:t>
            </w:r>
          </w:p>
        </w:tc>
      </w:tr>
      <w:tr>
        <w:tc>
          <w:tcPr>
            <w:tcW w:type="dxa" w:w="1719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Current Ratio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18.21×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25.28×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33.57×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42.82×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53.88×</w:t>
            </w:r>
          </w:p>
        </w:tc>
      </w:tr>
      <w:tr>
        <w:tc>
          <w:tcPr>
            <w:tcW w:type="dxa" w:w="1719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Debt–Equity Ratio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0.67×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0.29×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0.12×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0.03×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0.00×</w:t>
            </w:r>
          </w:p>
        </w:tc>
      </w:tr>
      <w:tr>
        <w:tc>
          <w:tcPr>
            <w:tcW w:type="dxa" w:w="1719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EBITDA Margin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32.0%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34.2%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36.0%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37.5%</w:t>
            </w:r>
          </w:p>
        </w:tc>
        <w:tc>
          <w:tcPr>
            <w:tcW w:type="dxa" w:w="1719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38.9%</w:t>
            </w:r>
          </w:p>
        </w:tc>
      </w:tr>
      <w:tr>
        <w:tc>
          <w:tcPr>
            <w:tcW w:type="dxa" w:w="1719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9"/>
              </w:rPr>
              <w:t>Net Profit Margin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18.7%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21.6%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23.9%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25.9%</w:t>
            </w:r>
          </w:p>
        </w:tc>
        <w:tc>
          <w:tcPr>
            <w:tcW w:type="dxa" w:w="1719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9"/>
              </w:rPr>
              <w:t>27.5%</w:t>
            </w:r>
          </w:p>
        </w:tc>
      </w:tr>
    </w:tbl>
    <w:p/>
    <w:p>
      <w:pPr>
        <w:spacing w:before="440" w:after="80"/>
      </w:pPr>
      <w:r>
        <w:rPr>
          <w:b/>
          <w:color w:val="5B5BF5"/>
          <w:sz w:val="38"/>
        </w:rPr>
        <w:t>4. Executive Summary</w:t>
      </w:r>
    </w:p>
    <w:p>
      <w:r>
        <w:rPr>
          <w:i/>
        </w:rPr>
        <w:t>Refer to the accompanying Excel financial model for detailed figures.</w:t>
      </w:r>
    </w:p>
    <w:p>
      <w:pPr>
        <w:spacing w:before="440" w:after="80"/>
      </w:pPr>
      <w:r>
        <w:rPr>
          <w:b/>
          <w:color w:val="5B5BF5"/>
          <w:sz w:val="38"/>
        </w:rPr>
        <w:t>5. Business Overview</w:t>
      </w:r>
    </w:p>
    <w:p>
      <w:r>
        <w:rPr>
          <w:i/>
        </w:rPr>
        <w:t>Refer to the accompanying Excel financial model for detailed figures.</w:t>
      </w:r>
    </w:p>
    <w:p>
      <w:pPr>
        <w:spacing w:before="440" w:after="80"/>
      </w:pPr>
      <w:r>
        <w:rPr>
          <w:b/>
          <w:color w:val="5B5BF5"/>
          <w:sz w:val="38"/>
        </w:rPr>
        <w:t>6. Market Analysis</w:t>
      </w:r>
    </w:p>
    <w:p>
      <w:r>
        <w:rPr>
          <w:i/>
        </w:rPr>
        <w:t>Refer to the accompanying Excel financial model for detailed figures.</w:t>
      </w:r>
    </w:p>
    <w:p>
      <w:pPr>
        <w:spacing w:before="440" w:after="80"/>
      </w:pPr>
      <w:r>
        <w:rPr>
          <w:b/>
          <w:color w:val="5B5BF5"/>
          <w:sz w:val="38"/>
        </w:rPr>
        <w:t>7. Financial Overview</w:t>
      </w:r>
    </w:p>
    <w:p>
      <w:r>
        <w:rPr>
          <w:i/>
        </w:rPr>
        <w:t>Refer to the accompanying Excel financial model for detailed figures.</w:t>
      </w:r>
    </w:p>
    <w:p>
      <w:pPr>
        <w:spacing w:before="440" w:after="80"/>
      </w:pPr>
      <w:r>
        <w:rPr>
          <w:b/>
          <w:color w:val="5B5BF5"/>
          <w:sz w:val="38"/>
        </w:rPr>
        <w:t>8. Risk Assessment</w:t>
      </w:r>
    </w:p>
    <w:p>
      <w:r>
        <w:rPr>
          <w:i/>
        </w:rPr>
        <w:t>Refer to the accompanying Excel financial model for detailed figures.</w:t>
      </w:r>
    </w:p>
    <w:p>
      <w:pPr>
        <w:spacing w:before="440" w:after="80"/>
      </w:pPr>
      <w:r>
        <w:rPr>
          <w:b/>
          <w:color w:val="5B5BF5"/>
          <w:sz w:val="38"/>
        </w:rPr>
        <w:t>9. Conclusion &amp; Recommendations</w:t>
      </w:r>
    </w:p>
    <w:p>
      <w:r>
        <w:rPr>
          <w:i/>
        </w:rPr>
        <w:t>Refer to the accompanying Excel financial model for detailed figures.</w:t>
      </w:r>
    </w:p>
    <w:p>
      <w:pPr>
        <w:pageBreakBefore/>
        <w:spacing w:before="440" w:after="80"/>
      </w:pPr>
      <w:r>
        <w:rPr>
          <w:b/>
          <w:color w:val="5B5BF5"/>
          <w:sz w:val="38"/>
        </w:rPr>
        <w:t>10. Basis of Preparation — Key Assumptions</w:t>
      </w:r>
    </w:p>
    <w:p>
      <w:pPr>
        <w:spacing w:after="160"/>
      </w:pPr>
      <w:r>
        <w:rPr>
          <w:i/>
          <w:color w:val="6B7080"/>
          <w:sz w:val="18"/>
        </w:rPr>
        <w:t>Every projection in this report is computed from these inputs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5156"/>
        <w:gridCol w:w="5156"/>
      </w:tblGrid>
      <w:tr>
        <w:tc>
          <w:tcPr>
            <w:tcW w:type="dxa" w:w="5156"/>
            <w:shd w:val="clear" w:fill="5B5BF5"/>
          </w:tcPr>
          <w:p>
            <w:pPr>
              <w:spacing w:before="60" w:after="60"/>
            </w:pPr>
            <w:r/>
            <w:r>
              <w:rPr>
                <w:b/>
                <w:color w:val="FFFFFF"/>
                <w:sz w:val="19"/>
              </w:rPr>
              <w:t>Assumption</w:t>
            </w:r>
          </w:p>
        </w:tc>
        <w:tc>
          <w:tcPr>
            <w:tcW w:type="dxa" w:w="5156"/>
            <w:shd w:val="clear" w:fill="5B5BF5"/>
          </w:tcPr>
          <w:p>
            <w:pPr>
              <w:spacing w:before="60" w:after="60"/>
              <w:jc w:val="center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5156"/>
            <w:shd w:val="clear" w:fill="E4E4FA"/>
          </w:tcPr>
          <w:p>
            <w:pPr>
              <w:spacing w:before="60" w:after="60"/>
            </w:pPr>
            <w:r/>
            <w:r>
              <w:rPr>
                <w:b/>
                <w:color w:val="2B2BD4"/>
                <w:sz w:val="18"/>
              </w:rPr>
              <w:t>A.  COMPANY &amp; LOAN PARTICULARS</w:t>
            </w:r>
          </w:p>
        </w:tc>
        <w:tc>
          <w:tcPr>
            <w:tcW w:type="dxa" w:w="5156"/>
            <w:shd w:val="clear" w:fill="E4E4FA"/>
          </w:tcPr>
          <w:p/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Name of the Unit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Test Restaurant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Constitution (Proprietor / Partnership / Pvt Ltd)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Pvt Ltd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Line of Activity / Product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Dine-in &amp; Takeaway Restaurant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Term Loan applied for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5,000,000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Promoters' Capital / Equity brought in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3,000,000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Interest rate on Term Loan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12.00%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Term Loan tenure (in MONTHS, e.g. 60 for 5 years)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Moratorium / holiday period (in MONTHS)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Interest rate on Working Capital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14.00%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Income Tax rate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25.00%</w:t>
            </w:r>
          </w:p>
        </w:tc>
      </w:tr>
      <w:tr>
        <w:tc>
          <w:tcPr>
            <w:tcW w:type="dxa" w:w="5156"/>
            <w:shd w:val="clear" w:fill="E4E4FA"/>
          </w:tcPr>
          <w:p>
            <w:pPr>
              <w:spacing w:before="60" w:after="60"/>
            </w:pPr>
            <w:r/>
            <w:r>
              <w:rPr>
                <w:b/>
                <w:color w:val="2B2BD4"/>
                <w:sz w:val="18"/>
              </w:rPr>
              <w:t>B.  SALES VOLUME</w:t>
            </w:r>
          </w:p>
        </w:tc>
        <w:tc>
          <w:tcPr>
            <w:tcW w:type="dxa" w:w="5156"/>
            <w:shd w:val="clear" w:fill="E4E4FA"/>
          </w:tcPr>
          <w:p/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Covers served (Year 1)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36,000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Sales Growth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Yr 1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→ growth index Year 1…5 (Year 1 = 1.00)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100.00%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Relative weight per month (M1…M12)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M1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→ weights (e.g. 1.0 each, or seasonal)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0.95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Average order value (Year 1)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annual price / value growth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5.00%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Gross margin on sales (%)  →  Food &amp; beverage cost = Sales × (1 − margin)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65.00%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(cost of sales is margin-based, not per-unit)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35.00%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(not used in this industry)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annual power cost escalation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5.00%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Other cost per unit of activity (packaging / fulfilment)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annual other-variable escalation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4.00%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Direct wages &amp; salaries / month (Year 1)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180,000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annual wages escalation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6.00%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Operating / facility overheads / month (Year 1)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85,000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annual factory-OH escalation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5.00%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Repairs &amp; maintenance / month (Year 1)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15,000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annual R&amp;M escalation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4.00%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Administrative expenses / month (Year 1)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50,000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annual admin escalation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5.00%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Selling &amp; distribution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3.00%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Land (no depreciation)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Building — cost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Building — depreciation rate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Plant &amp; Machinery — cost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2,500,000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Plant &amp; Machinery — depreciation rate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15.00%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Furniture / other — cost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1,500,000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Furniture / other — depreciation rate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10.00%</w:t>
            </w:r>
          </w:p>
        </w:tc>
      </w:tr>
      <w:tr>
        <w:tc>
          <w:tcPr>
            <w:tcW w:type="dxa" w:w="5156"/>
            <w:shd w:val="clear" w:fill="E4E4FA"/>
          </w:tcPr>
          <w:p>
            <w:pPr>
              <w:spacing w:before="60" w:after="60"/>
            </w:pPr>
            <w:r/>
            <w:r>
              <w:rPr>
                <w:b/>
                <w:color w:val="2B2BD4"/>
                <w:sz w:val="18"/>
              </w:rPr>
              <w:t>G.  WORKING CAPITAL CYCLE</w:t>
            </w:r>
          </w:p>
        </w:tc>
        <w:tc>
          <w:tcPr>
            <w:tcW w:type="dxa" w:w="5156"/>
            <w:shd w:val="clear" w:fill="E4E4FA"/>
          </w:tcPr>
          <w:p/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Raw material holding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Finished goods holding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Receivables / debtors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Creditors / payables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Minimum cash &amp; bank balance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200,000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Bank's WC margin (borrower's stake)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25.00%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H.  TARGET MARKET SEGMENTS  (who the revenue actually comes from)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Segment name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Segment 1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Dine-in customers</w:t>
            </w:r>
          </w:p>
        </w:tc>
      </w:tr>
      <w:tr>
        <w:tc>
          <w:tcPr>
            <w:tcW w:type="dxa" w:w="5156"/>
            <w:shd w:val="clear" w:fill="F6F6FD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Segment 2</w:t>
            </w:r>
          </w:p>
        </w:tc>
        <w:tc>
          <w:tcPr>
            <w:tcW w:type="dxa" w:w="5156"/>
            <w:shd w:val="clear" w:fill="F6F6FD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Takeaway / delivery orders</w:t>
            </w:r>
          </w:p>
        </w:tc>
      </w:tr>
      <w:tr>
        <w:tc>
          <w:tcPr>
            <w:tcW w:type="dxa" w:w="5156"/>
            <w:shd w:val="clear" w:fill="EFEFFB"/>
          </w:tcPr>
          <w:p>
            <w:pPr>
              <w:spacing w:before="60" w:after="60"/>
            </w:pPr>
            <w:r/>
            <w:r>
              <w:rPr>
                <w:b w:val="0"/>
                <w:sz w:val="18"/>
              </w:rPr>
              <w:t>Segment 3</w:t>
            </w:r>
          </w:p>
        </w:tc>
        <w:tc>
          <w:tcPr>
            <w:tcW w:type="dxa" w:w="5156"/>
            <w:shd w:val="clear" w:fill="EFEFFB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sz w:val="18"/>
              </w:rPr>
              <w:t>Catering &amp; events</w:t>
            </w:r>
          </w:p>
        </w:tc>
      </w:tr>
    </w:tbl>
    <w:p/>
    <w:p>
      <w:pPr>
        <w:pageBreakBefore/>
        <w:spacing w:before="440" w:after="80"/>
      </w:pPr>
      <w:r>
        <w:rPr>
          <w:b/>
          <w:color w:val="5B5BF5"/>
          <w:sz w:val="38"/>
        </w:rPr>
        <w:t>11. Graphs &amp; Charts</w:t>
      </w:r>
    </w:p>
    <w:p>
      <w:pPr>
        <w:spacing w:after="160"/>
      </w:pPr>
      <w:r>
        <w:rPr>
          <w:i/>
          <w:color w:val="6B7080"/>
          <w:sz w:val="18"/>
        </w:rPr>
        <w:t>Visual summary of the projections set out in the statements above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3"/>
      </w:tblGrid>
      <w:tr>
        <w:tc>
          <w:tcPr>
            <w:tcW w:type="dxa" w:w="10313"/>
          </w:tcPr>
          <w:p>
            <w:pPr>
              <w:spacing w:before="80" w:after="80"/>
              <w:jc w:val="center"/>
            </w:pPr>
            <w:r/>
            <w:r>
              <w:rPr>
                <w:b/>
                <w:sz w:val="22"/>
              </w:rPr>
              <w:t>Revenue, EBITDA and Profit After Tax — five-year projection</w:t>
            </w:r>
          </w:p>
        </w:tc>
      </w:tr>
      <w:tr>
        <w:tc>
          <w:tcPr>
            <w:tcW w:type="dxa" w:w="1031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9060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906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3"/>
      </w:tblGrid>
      <w:tr>
        <w:tc>
          <w:tcPr>
            <w:tcW w:type="dxa" w:w="10313"/>
          </w:tcPr>
          <w:p>
            <w:pPr>
              <w:spacing w:before="80" w:after="80"/>
              <w:jc w:val="center"/>
            </w:pPr>
            <w:r/>
            <w:r>
              <w:rPr>
                <w:b/>
                <w:sz w:val="22"/>
              </w:rPr>
              <w:t>Debt Service Coverage Ratio by year</w:t>
            </w:r>
          </w:p>
        </w:tc>
      </w:tr>
      <w:tr>
        <w:tc>
          <w:tcPr>
            <w:tcW w:type="dxa" w:w="1031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32455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245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3"/>
      </w:tblGrid>
      <w:tr>
        <w:tc>
          <w:tcPr>
            <w:tcW w:type="dxa" w:w="10313"/>
          </w:tcPr>
          <w:p>
            <w:pPr>
              <w:spacing w:before="80" w:after="80"/>
              <w:jc w:val="center"/>
            </w:pPr>
            <w:r/>
            <w:r>
              <w:rPr>
                <w:b/>
                <w:sz w:val="22"/>
              </w:rPr>
              <w:t>EBITDA and net profit margins by year</w:t>
            </w:r>
          </w:p>
        </w:tc>
      </w:tr>
      <w:tr>
        <w:tc>
          <w:tcPr>
            <w:tcW w:type="dxa" w:w="1031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31378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137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3"/>
      </w:tblGrid>
      <w:tr>
        <w:tc>
          <w:tcPr>
            <w:tcW w:type="dxa" w:w="10313"/>
          </w:tcPr>
          <w:p>
            <w:pPr>
              <w:spacing w:before="80" w:after="80"/>
              <w:jc w:val="center"/>
            </w:pPr>
            <w:r/>
            <w:r>
              <w:rPr>
                <w:b/>
                <w:sz w:val="22"/>
              </w:rPr>
              <w:t>Where each rupee of Year-1 revenue goes</w:t>
            </w:r>
          </w:p>
        </w:tc>
      </w:tr>
      <w:tr>
        <w:tc>
          <w:tcPr>
            <w:tcW w:type="dxa" w:w="1031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252035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520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keepNext/>
        <w:spacing w:before="240" w:after="120"/>
        <w:jc w:val="center"/>
      </w:pPr>
      <w:r>
        <w:rPr>
          <w:b/>
          <w:color w:val="1C1C22"/>
          <w:sz w:val="24"/>
        </w:rPr>
        <w:t>What the charts show</w:t>
      </w:r>
    </w:p>
    <w:p>
      <w:pPr>
        <w:spacing w:after="80"/>
        <w:jc w:val="both"/>
      </w:pPr>
      <w:r>
        <w:rPr>
          <w:sz w:val="19"/>
        </w:rPr>
        <w:t>Revenue rises from ₹1.62 Cr in Year 1 to ₹2.76 Cr in Year 5, a +70% movement over the projection, with EBITDA and profit after tax widening alongside it.</w:t>
      </w:r>
    </w:p>
    <w:p>
      <w:pPr>
        <w:spacing w:after="80"/>
        <w:jc w:val="both"/>
      </w:pPr>
      <w:r>
        <w:rPr>
          <w:sz w:val="19"/>
        </w:rPr>
        <w:t>Debt service coverage averages 5.65 times and stays above the 1.20 benchmark throughout.</w:t>
      </w:r>
    </w:p>
    <w:p>
      <w:pPr>
        <w:spacing w:after="80"/>
        <w:jc w:val="both"/>
      </w:pPr>
      <w:r>
        <w:rPr>
          <w:sz w:val="19"/>
        </w:rPr>
        <w:t>Margins improve as fixed costs are spread over a larger turnover — net profit margin moves from 18.7% to 27.5% of sales.</w:t>
      </w:r>
    </w:p>
    <w:p>
      <w:pPr>
        <w:spacing w:after="80"/>
        <w:jc w:val="both"/>
      </w:pPr>
      <w:r>
        <w:rPr>
          <w:sz w:val="19"/>
        </w:rPr>
        <w:t>In Year 1, 68% of every rupee of revenue is absorbed by operating costs and 32% remains as EBITDA.</w:t>
      </w:r>
    </w:p>
    <w:p>
      <w:r>
        <w:rPr>
          <w:i/>
          <w:color w:val="6B7080"/>
          <w:sz w:val="17"/>
        </w:rPr>
        <w:t>Detailed month-by-month projections, the dashboard, ratios and statutory formats are provided in the accompanying Excel workbook. All figures in this report are drawn from that model.</w:t>
      </w:r>
    </w:p>
    <w:sectPr w:rsidR="00FC693F" w:rsidRPr="0006063C" w:rsidSect="00034616">
      <w:footerReference w:type="default" r:id="rId9"/>
      <w:pgSz w:w="12240" w:h="15840"/>
      <w:pgMar w:top="907" w:right="1020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08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1C1C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