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rPr>
        <w:id w:val="568456402"/>
        <w:docPartObj>
          <w:docPartGallery w:val="Cover Pages"/>
          <w:docPartUnique/>
        </w:docPartObj>
      </w:sdtPr>
      <w:sdtEndPr>
        <w:rPr>
          <w:rFonts w:ascii="Arial" w:hAnsi="Arial" w:cs="Arial"/>
          <w:sz w:val="24"/>
          <w:szCs w:val="24"/>
        </w:rPr>
      </w:sdtEndPr>
      <w:sdtContent>
        <w:p w14:paraId="64C23CAA" w14:textId="77777777" w:rsidR="003138DB" w:rsidRDefault="003138DB">
          <w:pPr>
            <w:pStyle w:val="NoSpacing"/>
            <w:rPr>
              <w:sz w:val="2"/>
            </w:rPr>
          </w:pPr>
        </w:p>
        <w:p w14:paraId="0A9E3182" w14:textId="77777777" w:rsidR="003138DB" w:rsidRDefault="003138DB">
          <w:r>
            <w:rPr>
              <w:noProof/>
            </w:rPr>
            <mc:AlternateContent>
              <mc:Choice Requires="wps">
                <w:drawing>
                  <wp:anchor distT="0" distB="0" distL="114300" distR="114300" simplePos="0" relativeHeight="251661312" behindDoc="0" locked="0" layoutInCell="1" allowOverlap="1" wp14:anchorId="5649FD89" wp14:editId="6F905D90">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2997E80" w14:textId="77777777" w:rsidR="003138DB" w:rsidRDefault="003138DB">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ME 50361: Individual Assignment</w:t>
                                    </w:r>
                                  </w:p>
                                </w:sdtContent>
                              </w:sdt>
                              <w:p w14:paraId="0596E4BF" w14:textId="77777777" w:rsidR="003138DB" w:rsidRDefault="0000000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3138DB">
                                      <w:rPr>
                                        <w:color w:val="4472C4" w:themeColor="accent1"/>
                                        <w:sz w:val="36"/>
                                        <w:szCs w:val="36"/>
                                      </w:rPr>
                                      <w:t xml:space="preserve">Babcock </w:t>
                                    </w:r>
                                    <w:r w:rsidR="00B879D0">
                                      <w:rPr>
                                        <w:color w:val="4472C4" w:themeColor="accent1"/>
                                        <w:sz w:val="36"/>
                                        <w:szCs w:val="36"/>
                                      </w:rPr>
                                      <w:t>G</w:t>
                                    </w:r>
                                    <w:r w:rsidR="003138DB">
                                      <w:rPr>
                                        <w:color w:val="4472C4" w:themeColor="accent1"/>
                                        <w:sz w:val="36"/>
                                        <w:szCs w:val="36"/>
                                      </w:rPr>
                                      <w:t>roup</w:t>
                                    </w:r>
                                    <w:r w:rsidR="00A15C18">
                                      <w:rPr>
                                        <w:color w:val="4472C4" w:themeColor="accent1"/>
                                        <w:sz w:val="36"/>
                                        <w:szCs w:val="36"/>
                                      </w:rPr>
                                      <w:t xml:space="preserve"> Sustainability</w:t>
                                    </w:r>
                                    <w:r w:rsidR="00B879D0">
                                      <w:rPr>
                                        <w:color w:val="4472C4" w:themeColor="accent1"/>
                                        <w:sz w:val="36"/>
                                        <w:szCs w:val="36"/>
                                      </w:rPr>
                                      <w:t xml:space="preserve"> Report</w:t>
                                    </w:r>
                                  </w:sdtContent>
                                </w:sdt>
                                <w:r w:rsidR="003138DB">
                                  <w:rPr>
                                    <w:noProof/>
                                  </w:rPr>
                                  <w:t xml:space="preserve"> </w:t>
                                </w:r>
                              </w:p>
                              <w:p w14:paraId="08D22AC3" w14:textId="77777777" w:rsidR="003138DB" w:rsidRDefault="003138D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649FD89"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2997E80" w14:textId="77777777" w:rsidR="003138DB" w:rsidRDefault="003138DB">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ME 50361: Individual Assignment</w:t>
                              </w:r>
                            </w:p>
                          </w:sdtContent>
                        </w:sdt>
                        <w:p w14:paraId="0596E4BF" w14:textId="77777777" w:rsidR="003138DB" w:rsidRDefault="0000000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3138DB">
                                <w:rPr>
                                  <w:color w:val="4472C4" w:themeColor="accent1"/>
                                  <w:sz w:val="36"/>
                                  <w:szCs w:val="36"/>
                                </w:rPr>
                                <w:t xml:space="preserve">Babcock </w:t>
                              </w:r>
                              <w:r w:rsidR="00B879D0">
                                <w:rPr>
                                  <w:color w:val="4472C4" w:themeColor="accent1"/>
                                  <w:sz w:val="36"/>
                                  <w:szCs w:val="36"/>
                                </w:rPr>
                                <w:t>G</w:t>
                              </w:r>
                              <w:r w:rsidR="003138DB">
                                <w:rPr>
                                  <w:color w:val="4472C4" w:themeColor="accent1"/>
                                  <w:sz w:val="36"/>
                                  <w:szCs w:val="36"/>
                                </w:rPr>
                                <w:t>roup</w:t>
                              </w:r>
                              <w:r w:rsidR="00A15C18">
                                <w:rPr>
                                  <w:color w:val="4472C4" w:themeColor="accent1"/>
                                  <w:sz w:val="36"/>
                                  <w:szCs w:val="36"/>
                                </w:rPr>
                                <w:t xml:space="preserve"> Sustainability</w:t>
                              </w:r>
                              <w:r w:rsidR="00B879D0">
                                <w:rPr>
                                  <w:color w:val="4472C4" w:themeColor="accent1"/>
                                  <w:sz w:val="36"/>
                                  <w:szCs w:val="36"/>
                                </w:rPr>
                                <w:t xml:space="preserve"> Report</w:t>
                              </w:r>
                            </w:sdtContent>
                          </w:sdt>
                          <w:r w:rsidR="003138DB">
                            <w:rPr>
                              <w:noProof/>
                            </w:rPr>
                            <w:t xml:space="preserve"> </w:t>
                          </w:r>
                        </w:p>
                        <w:p w14:paraId="08D22AC3" w14:textId="77777777" w:rsidR="003138DB" w:rsidRDefault="003138DB"/>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106253A1" wp14:editId="272EF3C6">
                    <wp:simplePos x="0" y="0"/>
                    <mc:AlternateContent>
                      <mc:Choice Requires="wp14">
                        <wp:positionH relativeFrom="page">
                          <wp14:pctPosHOffset>22000</wp14:pctPosHOffset>
                        </wp:positionH>
                      </mc:Choice>
                      <mc:Fallback>
                        <wp:positionH relativeFrom="page">
                          <wp:posOffset>2112010</wp:posOffset>
                        </wp:positionH>
                      </mc:Fallback>
                    </mc:AlternateContent>
                    <mc:AlternateContent>
                      <mc:Choice Requires="wp14">
                        <wp:positionV relativeFrom="page">
                          <wp14:pctPosVOffset>30000</wp14:pctPosVOffset>
                        </wp:positionV>
                      </mc:Choice>
                      <mc:Fallback>
                        <wp:positionV relativeFrom="page">
                          <wp:posOffset>4114800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95721FE"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4F4AB3D1" wp14:editId="7FE13E4D">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B6BBB6" w14:textId="77777777" w:rsidR="003138DB"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3138DB">
                                      <w:rPr>
                                        <w:color w:val="4472C4" w:themeColor="accent1"/>
                                        <w:sz w:val="36"/>
                                        <w:szCs w:val="36"/>
                                      </w:rPr>
                                      <w:t xml:space="preserve">Sadiq </w:t>
                                    </w:r>
                                    <w:proofErr w:type="spellStart"/>
                                    <w:r w:rsidR="003138DB">
                                      <w:rPr>
                                        <w:color w:val="4472C4" w:themeColor="accent1"/>
                                        <w:sz w:val="36"/>
                                        <w:szCs w:val="36"/>
                                      </w:rPr>
                                      <w:t>Tijjani</w:t>
                                    </w:r>
                                    <w:proofErr w:type="spellEnd"/>
                                    <w:r w:rsidR="003138DB">
                                      <w:rPr>
                                        <w:color w:val="4472C4" w:themeColor="accent1"/>
                                        <w:sz w:val="36"/>
                                        <w:szCs w:val="36"/>
                                      </w:rPr>
                                      <w:t xml:space="preserve"> Umar</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404BF077" w14:textId="77777777" w:rsidR="003138DB" w:rsidRDefault="003138DB">
                                    <w:pPr>
                                      <w:pStyle w:val="NoSpacing"/>
                                      <w:jc w:val="right"/>
                                      <w:rPr>
                                        <w:color w:val="4472C4" w:themeColor="accent1"/>
                                        <w:sz w:val="36"/>
                                        <w:szCs w:val="36"/>
                                      </w:rPr>
                                    </w:pPr>
                                    <w:r>
                                      <w:rPr>
                                        <w:color w:val="4472C4" w:themeColor="accent1"/>
                                        <w:sz w:val="36"/>
                                        <w:szCs w:val="36"/>
                                      </w:rPr>
                                      <w:t>University Of Bath</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4F4AB3D1"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1FB6BBB6" w14:textId="77777777" w:rsidR="003138DB"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3138DB">
                                <w:rPr>
                                  <w:color w:val="4472C4" w:themeColor="accent1"/>
                                  <w:sz w:val="36"/>
                                  <w:szCs w:val="36"/>
                                </w:rPr>
                                <w:t xml:space="preserve">Sadiq </w:t>
                              </w:r>
                              <w:proofErr w:type="spellStart"/>
                              <w:r w:rsidR="003138DB">
                                <w:rPr>
                                  <w:color w:val="4472C4" w:themeColor="accent1"/>
                                  <w:sz w:val="36"/>
                                  <w:szCs w:val="36"/>
                                </w:rPr>
                                <w:t>Tijjani</w:t>
                              </w:r>
                              <w:proofErr w:type="spellEnd"/>
                              <w:r w:rsidR="003138DB">
                                <w:rPr>
                                  <w:color w:val="4472C4" w:themeColor="accent1"/>
                                  <w:sz w:val="36"/>
                                  <w:szCs w:val="36"/>
                                </w:rPr>
                                <w:t xml:space="preserve"> Umar</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404BF077" w14:textId="77777777" w:rsidR="003138DB" w:rsidRDefault="003138DB">
                              <w:pPr>
                                <w:pStyle w:val="NoSpacing"/>
                                <w:jc w:val="right"/>
                                <w:rPr>
                                  <w:color w:val="4472C4" w:themeColor="accent1"/>
                                  <w:sz w:val="36"/>
                                  <w:szCs w:val="36"/>
                                </w:rPr>
                              </w:pPr>
                              <w:r>
                                <w:rPr>
                                  <w:color w:val="4472C4" w:themeColor="accent1"/>
                                  <w:sz w:val="36"/>
                                  <w:szCs w:val="36"/>
                                </w:rPr>
                                <w:t>University Of Bath</w:t>
                              </w:r>
                            </w:p>
                          </w:sdtContent>
                        </w:sdt>
                      </w:txbxContent>
                    </v:textbox>
                    <w10:wrap anchorx="page" anchory="margin"/>
                  </v:shape>
                </w:pict>
              </mc:Fallback>
            </mc:AlternateContent>
          </w:r>
        </w:p>
        <w:p w14:paraId="71DE0358" w14:textId="77777777" w:rsidR="003138DB" w:rsidRDefault="00003CF1">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2336" behindDoc="0" locked="0" layoutInCell="1" allowOverlap="1" wp14:anchorId="7F2006F5" wp14:editId="0AB7CFEE">
                    <wp:simplePos x="0" y="0"/>
                    <wp:positionH relativeFrom="column">
                      <wp:posOffset>6348413</wp:posOffset>
                    </wp:positionH>
                    <wp:positionV relativeFrom="paragraph">
                      <wp:posOffset>12519660</wp:posOffset>
                    </wp:positionV>
                    <wp:extent cx="2143125" cy="338138"/>
                    <wp:effectExtent l="0" t="0" r="28575" b="24130"/>
                    <wp:wrapNone/>
                    <wp:docPr id="7" name="Text Box 7"/>
                    <wp:cNvGraphicFramePr/>
                    <a:graphic xmlns:a="http://schemas.openxmlformats.org/drawingml/2006/main">
                      <a:graphicData uri="http://schemas.microsoft.com/office/word/2010/wordprocessingShape">
                        <wps:wsp>
                          <wps:cNvSpPr txBox="1"/>
                          <wps:spPr>
                            <a:xfrm>
                              <a:off x="0" y="0"/>
                              <a:ext cx="2143125" cy="338138"/>
                            </a:xfrm>
                            <a:prstGeom prst="rect">
                              <a:avLst/>
                            </a:prstGeom>
                            <a:solidFill>
                              <a:schemeClr val="lt1"/>
                            </a:solidFill>
                            <a:ln w="6350">
                              <a:solidFill>
                                <a:prstClr val="black"/>
                              </a:solidFill>
                            </a:ln>
                          </wps:spPr>
                          <wps:txbx>
                            <w:txbxContent>
                              <w:p w14:paraId="1BE24B09" w14:textId="25539972" w:rsidR="00003CF1" w:rsidRDefault="00003CF1">
                                <w:r>
                                  <w:t xml:space="preserve">Word Count: </w:t>
                                </w:r>
                                <w:r w:rsidR="002B099C">
                                  <w:t>2,0</w:t>
                                </w:r>
                                <w:r w:rsidR="002951DD">
                                  <w:t>52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F2006F5" id="_x0000_t202" coordsize="21600,21600" o:spt="202" path="m,l,21600r21600,l21600,xe">
                    <v:stroke joinstyle="miter"/>
                    <v:path gradientshapeok="t" o:connecttype="rect"/>
                  </v:shapetype>
                  <v:shape id="Text Box 7" o:spid="_x0000_s1028" type="#_x0000_t202" style="position:absolute;margin-left:499.9pt;margin-top:985.8pt;width:168.75pt;height:26.6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" fillcolor="white [3201]" strokeweight=".5pt">
                    <v:textbox>
                      <w:txbxContent>
                        <w:p w14:paraId="1BE24B09" w14:textId="25539972" w:rsidR="00003CF1" w:rsidRDefault="00003CF1">
                          <w:r>
                            <w:t xml:space="preserve">Word Count: </w:t>
                          </w:r>
                          <w:r w:rsidR="002B099C">
                            <w:t>2,0</w:t>
                          </w:r>
                          <w:r w:rsidR="002951DD">
                            <w:t>52</w:t>
                          </w:r>
                        </w:p>
                      </w:txbxContent>
                    </v:textbox>
                  </v:shape>
                </w:pict>
              </mc:Fallback>
            </mc:AlternateContent>
          </w:r>
          <w:r w:rsidR="003138DB">
            <w:rPr>
              <w:rFonts w:ascii="Arial" w:hAnsi="Arial" w:cs="Arial"/>
              <w:sz w:val="24"/>
              <w:szCs w:val="24"/>
            </w:rPr>
            <w:br w:type="page"/>
          </w:r>
        </w:p>
        <w:sdt>
          <w:sdtPr>
            <w:rPr>
              <w:rFonts w:asciiTheme="minorHAnsi" w:eastAsiaTheme="minorHAnsi" w:hAnsiTheme="minorHAnsi" w:cstheme="minorBidi"/>
              <w:color w:val="auto"/>
              <w:sz w:val="22"/>
              <w:szCs w:val="22"/>
            </w:rPr>
            <w:id w:val="1810817244"/>
            <w:docPartObj>
              <w:docPartGallery w:val="Table of Contents"/>
              <w:docPartUnique/>
            </w:docPartObj>
          </w:sdtPr>
          <w:sdtEndPr>
            <w:rPr>
              <w:b/>
              <w:bCs/>
              <w:noProof/>
            </w:rPr>
          </w:sdtEndPr>
          <w:sdtContent>
            <w:p w14:paraId="6D332CDE" w14:textId="77777777" w:rsidR="002D7040" w:rsidRDefault="002D7040">
              <w:pPr>
                <w:pStyle w:val="TOCHeading"/>
              </w:pPr>
              <w:r>
                <w:t>Table of Contents</w:t>
              </w:r>
            </w:p>
            <w:p w14:paraId="5F4D420C" w14:textId="77777777" w:rsidR="002D7040" w:rsidRDefault="002D7040">
              <w:pPr>
                <w:pStyle w:val="TOC1"/>
                <w:tabs>
                  <w:tab w:val="right" w:leader="dot" w:pos="13670"/>
                </w:tabs>
                <w:rPr>
                  <w:rFonts w:cstheme="minorBidi"/>
                  <w:noProof/>
                </w:rPr>
              </w:pPr>
              <w:r>
                <w:fldChar w:fldCharType="begin"/>
              </w:r>
              <w:r>
                <w:instrText xml:space="preserve"> TOC \o "1-3" \h \z \u </w:instrText>
              </w:r>
              <w:r>
                <w:fldChar w:fldCharType="separate"/>
              </w:r>
              <w:hyperlink w:anchor="_Toc121215137" w:history="1">
                <w:r w:rsidRPr="009F420F">
                  <w:rPr>
                    <w:rStyle w:val="Hyperlink"/>
                    <w:noProof/>
                  </w:rPr>
                  <w:t>Introduction</w:t>
                </w:r>
                <w:r>
                  <w:rPr>
                    <w:noProof/>
                    <w:webHidden/>
                  </w:rPr>
                  <w:tab/>
                </w:r>
                <w:r>
                  <w:rPr>
                    <w:noProof/>
                    <w:webHidden/>
                  </w:rPr>
                  <w:fldChar w:fldCharType="begin"/>
                </w:r>
                <w:r>
                  <w:rPr>
                    <w:noProof/>
                    <w:webHidden/>
                  </w:rPr>
                  <w:instrText xml:space="preserve"> PAGEREF _Toc121215137 \h </w:instrText>
                </w:r>
                <w:r>
                  <w:rPr>
                    <w:noProof/>
                    <w:webHidden/>
                  </w:rPr>
                </w:r>
                <w:r>
                  <w:rPr>
                    <w:noProof/>
                    <w:webHidden/>
                  </w:rPr>
                  <w:fldChar w:fldCharType="separate"/>
                </w:r>
                <w:r>
                  <w:rPr>
                    <w:noProof/>
                    <w:webHidden/>
                  </w:rPr>
                  <w:t>2</w:t>
                </w:r>
                <w:r>
                  <w:rPr>
                    <w:noProof/>
                    <w:webHidden/>
                  </w:rPr>
                  <w:fldChar w:fldCharType="end"/>
                </w:r>
              </w:hyperlink>
            </w:p>
            <w:p w14:paraId="31EBBAE0" w14:textId="77777777" w:rsidR="002D7040" w:rsidRDefault="00000000">
              <w:pPr>
                <w:pStyle w:val="TOC1"/>
                <w:tabs>
                  <w:tab w:val="right" w:leader="dot" w:pos="13670"/>
                </w:tabs>
                <w:rPr>
                  <w:rFonts w:cstheme="minorBidi"/>
                  <w:noProof/>
                </w:rPr>
              </w:pPr>
              <w:hyperlink w:anchor="_Toc121215138" w:history="1">
                <w:r w:rsidR="002D7040" w:rsidRPr="009F420F">
                  <w:rPr>
                    <w:rStyle w:val="Hyperlink"/>
                    <w:noProof/>
                  </w:rPr>
                  <w:t>Strategy Review</w:t>
                </w:r>
                <w:r w:rsidR="002D7040">
                  <w:rPr>
                    <w:noProof/>
                    <w:webHidden/>
                  </w:rPr>
                  <w:tab/>
                </w:r>
                <w:r w:rsidR="002D7040">
                  <w:rPr>
                    <w:noProof/>
                    <w:webHidden/>
                  </w:rPr>
                  <w:fldChar w:fldCharType="begin"/>
                </w:r>
                <w:r w:rsidR="002D7040">
                  <w:rPr>
                    <w:noProof/>
                    <w:webHidden/>
                  </w:rPr>
                  <w:instrText xml:space="preserve"> PAGEREF _Toc121215138 \h </w:instrText>
                </w:r>
                <w:r w:rsidR="002D7040">
                  <w:rPr>
                    <w:noProof/>
                    <w:webHidden/>
                  </w:rPr>
                </w:r>
                <w:r w:rsidR="002D7040">
                  <w:rPr>
                    <w:noProof/>
                    <w:webHidden/>
                  </w:rPr>
                  <w:fldChar w:fldCharType="separate"/>
                </w:r>
                <w:r w:rsidR="002D7040">
                  <w:rPr>
                    <w:noProof/>
                    <w:webHidden/>
                  </w:rPr>
                  <w:t>2</w:t>
                </w:r>
                <w:r w:rsidR="002D7040">
                  <w:rPr>
                    <w:noProof/>
                    <w:webHidden/>
                  </w:rPr>
                  <w:fldChar w:fldCharType="end"/>
                </w:r>
              </w:hyperlink>
            </w:p>
            <w:p w14:paraId="3B6CE829" w14:textId="77777777" w:rsidR="002D7040" w:rsidRDefault="00000000">
              <w:pPr>
                <w:pStyle w:val="TOC1"/>
                <w:tabs>
                  <w:tab w:val="right" w:leader="dot" w:pos="13670"/>
                </w:tabs>
                <w:rPr>
                  <w:rFonts w:cstheme="minorBidi"/>
                  <w:noProof/>
                </w:rPr>
              </w:pPr>
              <w:hyperlink w:anchor="_Toc121215139" w:history="1">
                <w:r w:rsidR="002D7040" w:rsidRPr="009F420F">
                  <w:rPr>
                    <w:rStyle w:val="Hyperlink"/>
                    <w:noProof/>
                  </w:rPr>
                  <w:t>Recommendation</w:t>
                </w:r>
                <w:r w:rsidR="002D7040">
                  <w:rPr>
                    <w:noProof/>
                    <w:webHidden/>
                  </w:rPr>
                  <w:tab/>
                </w:r>
                <w:r w:rsidR="002D7040">
                  <w:rPr>
                    <w:noProof/>
                    <w:webHidden/>
                  </w:rPr>
                  <w:fldChar w:fldCharType="begin"/>
                </w:r>
                <w:r w:rsidR="002D7040">
                  <w:rPr>
                    <w:noProof/>
                    <w:webHidden/>
                  </w:rPr>
                  <w:instrText xml:space="preserve"> PAGEREF _Toc121215139 \h </w:instrText>
                </w:r>
                <w:r w:rsidR="002D7040">
                  <w:rPr>
                    <w:noProof/>
                    <w:webHidden/>
                  </w:rPr>
                </w:r>
                <w:r w:rsidR="002D7040">
                  <w:rPr>
                    <w:noProof/>
                    <w:webHidden/>
                  </w:rPr>
                  <w:fldChar w:fldCharType="separate"/>
                </w:r>
                <w:r w:rsidR="002D7040">
                  <w:rPr>
                    <w:noProof/>
                    <w:webHidden/>
                  </w:rPr>
                  <w:t>3</w:t>
                </w:r>
                <w:r w:rsidR="002D7040">
                  <w:rPr>
                    <w:noProof/>
                    <w:webHidden/>
                  </w:rPr>
                  <w:fldChar w:fldCharType="end"/>
                </w:r>
              </w:hyperlink>
            </w:p>
            <w:p w14:paraId="5C133CFE" w14:textId="77777777" w:rsidR="002D7040" w:rsidRDefault="00000000">
              <w:pPr>
                <w:pStyle w:val="TOC1"/>
                <w:tabs>
                  <w:tab w:val="right" w:leader="dot" w:pos="13670"/>
                </w:tabs>
                <w:rPr>
                  <w:rFonts w:cstheme="minorBidi"/>
                  <w:noProof/>
                </w:rPr>
              </w:pPr>
              <w:hyperlink w:anchor="_Toc121215140" w:history="1">
                <w:r w:rsidR="002D7040" w:rsidRPr="009F420F">
                  <w:rPr>
                    <w:rStyle w:val="Hyperlink"/>
                    <w:noProof/>
                  </w:rPr>
                  <w:t>Short Term</w:t>
                </w:r>
                <w:r w:rsidR="002D7040">
                  <w:rPr>
                    <w:noProof/>
                    <w:webHidden/>
                  </w:rPr>
                  <w:tab/>
                </w:r>
                <w:r w:rsidR="002D7040">
                  <w:rPr>
                    <w:noProof/>
                    <w:webHidden/>
                  </w:rPr>
                  <w:fldChar w:fldCharType="begin"/>
                </w:r>
                <w:r w:rsidR="002D7040">
                  <w:rPr>
                    <w:noProof/>
                    <w:webHidden/>
                  </w:rPr>
                  <w:instrText xml:space="preserve"> PAGEREF _Toc121215140 \h </w:instrText>
                </w:r>
                <w:r w:rsidR="002D7040">
                  <w:rPr>
                    <w:noProof/>
                    <w:webHidden/>
                  </w:rPr>
                </w:r>
                <w:r w:rsidR="002D7040">
                  <w:rPr>
                    <w:noProof/>
                    <w:webHidden/>
                  </w:rPr>
                  <w:fldChar w:fldCharType="separate"/>
                </w:r>
                <w:r w:rsidR="002D7040">
                  <w:rPr>
                    <w:noProof/>
                    <w:webHidden/>
                  </w:rPr>
                  <w:t>4</w:t>
                </w:r>
                <w:r w:rsidR="002D7040">
                  <w:rPr>
                    <w:noProof/>
                    <w:webHidden/>
                  </w:rPr>
                  <w:fldChar w:fldCharType="end"/>
                </w:r>
              </w:hyperlink>
            </w:p>
            <w:p w14:paraId="6917BCC7" w14:textId="77777777" w:rsidR="002D7040" w:rsidRDefault="00000000">
              <w:pPr>
                <w:pStyle w:val="TOC1"/>
                <w:tabs>
                  <w:tab w:val="right" w:leader="dot" w:pos="13670"/>
                </w:tabs>
                <w:rPr>
                  <w:rFonts w:cstheme="minorBidi"/>
                  <w:noProof/>
                </w:rPr>
              </w:pPr>
              <w:hyperlink w:anchor="_Toc121215141" w:history="1">
                <w:r w:rsidR="002D7040" w:rsidRPr="009F420F">
                  <w:rPr>
                    <w:rStyle w:val="Hyperlink"/>
                    <w:noProof/>
                  </w:rPr>
                  <w:t>Medium To Long Term</w:t>
                </w:r>
                <w:r w:rsidR="002D7040">
                  <w:rPr>
                    <w:noProof/>
                    <w:webHidden/>
                  </w:rPr>
                  <w:tab/>
                </w:r>
                <w:r w:rsidR="002D7040">
                  <w:rPr>
                    <w:noProof/>
                    <w:webHidden/>
                  </w:rPr>
                  <w:fldChar w:fldCharType="begin"/>
                </w:r>
                <w:r w:rsidR="002D7040">
                  <w:rPr>
                    <w:noProof/>
                    <w:webHidden/>
                  </w:rPr>
                  <w:instrText xml:space="preserve"> PAGEREF _Toc121215141 \h </w:instrText>
                </w:r>
                <w:r w:rsidR="002D7040">
                  <w:rPr>
                    <w:noProof/>
                    <w:webHidden/>
                  </w:rPr>
                </w:r>
                <w:r w:rsidR="002D7040">
                  <w:rPr>
                    <w:noProof/>
                    <w:webHidden/>
                  </w:rPr>
                  <w:fldChar w:fldCharType="separate"/>
                </w:r>
                <w:r w:rsidR="002D7040">
                  <w:rPr>
                    <w:noProof/>
                    <w:webHidden/>
                  </w:rPr>
                  <w:t>4</w:t>
                </w:r>
                <w:r w:rsidR="002D7040">
                  <w:rPr>
                    <w:noProof/>
                    <w:webHidden/>
                  </w:rPr>
                  <w:fldChar w:fldCharType="end"/>
                </w:r>
              </w:hyperlink>
            </w:p>
            <w:p w14:paraId="4EB21CB2" w14:textId="77777777" w:rsidR="002D7040" w:rsidRDefault="00000000">
              <w:pPr>
                <w:pStyle w:val="TOC1"/>
                <w:tabs>
                  <w:tab w:val="right" w:leader="dot" w:pos="13670"/>
                </w:tabs>
                <w:rPr>
                  <w:rFonts w:cstheme="minorBidi"/>
                  <w:noProof/>
                </w:rPr>
              </w:pPr>
              <w:hyperlink w:anchor="_Toc121215142" w:history="1">
                <w:r w:rsidR="002D7040" w:rsidRPr="009F420F">
                  <w:rPr>
                    <w:rStyle w:val="Hyperlink"/>
                    <w:noProof/>
                  </w:rPr>
                  <w:t>References</w:t>
                </w:r>
                <w:r w:rsidR="002D7040">
                  <w:rPr>
                    <w:noProof/>
                    <w:webHidden/>
                  </w:rPr>
                  <w:tab/>
                </w:r>
                <w:r w:rsidR="002D7040">
                  <w:rPr>
                    <w:noProof/>
                    <w:webHidden/>
                  </w:rPr>
                  <w:fldChar w:fldCharType="begin"/>
                </w:r>
                <w:r w:rsidR="002D7040">
                  <w:rPr>
                    <w:noProof/>
                    <w:webHidden/>
                  </w:rPr>
                  <w:instrText xml:space="preserve"> PAGEREF _Toc121215142 \h </w:instrText>
                </w:r>
                <w:r w:rsidR="002D7040">
                  <w:rPr>
                    <w:noProof/>
                    <w:webHidden/>
                  </w:rPr>
                </w:r>
                <w:r w:rsidR="002D7040">
                  <w:rPr>
                    <w:noProof/>
                    <w:webHidden/>
                  </w:rPr>
                  <w:fldChar w:fldCharType="separate"/>
                </w:r>
                <w:r w:rsidR="002D7040">
                  <w:rPr>
                    <w:noProof/>
                    <w:webHidden/>
                  </w:rPr>
                  <w:t>5</w:t>
                </w:r>
                <w:r w:rsidR="002D7040">
                  <w:rPr>
                    <w:noProof/>
                    <w:webHidden/>
                  </w:rPr>
                  <w:fldChar w:fldCharType="end"/>
                </w:r>
              </w:hyperlink>
            </w:p>
            <w:p w14:paraId="2203C2EA" w14:textId="77777777" w:rsidR="002D7040" w:rsidRDefault="002D7040">
              <w:r>
                <w:rPr>
                  <w:b/>
                  <w:bCs/>
                  <w:noProof/>
                </w:rPr>
                <w:fldChar w:fldCharType="end"/>
              </w:r>
            </w:p>
          </w:sdtContent>
        </w:sdt>
        <w:p w14:paraId="05595437" w14:textId="77777777" w:rsidR="003138DB" w:rsidRDefault="003138DB">
          <w:pPr>
            <w:rPr>
              <w:rFonts w:ascii="Arial" w:hAnsi="Arial" w:cs="Arial"/>
              <w:sz w:val="24"/>
              <w:szCs w:val="24"/>
            </w:rPr>
          </w:pPr>
          <w:r>
            <w:rPr>
              <w:rFonts w:ascii="Arial" w:hAnsi="Arial" w:cs="Arial"/>
              <w:sz w:val="24"/>
              <w:szCs w:val="24"/>
            </w:rPr>
            <w:br w:type="page"/>
          </w:r>
        </w:p>
        <w:p w14:paraId="4F008737" w14:textId="77777777" w:rsidR="003138DB" w:rsidRDefault="00000000">
          <w:pPr>
            <w:rPr>
              <w:rFonts w:ascii="Arial" w:hAnsi="Arial" w:cs="Arial"/>
              <w:sz w:val="24"/>
              <w:szCs w:val="24"/>
            </w:rPr>
          </w:pPr>
        </w:p>
      </w:sdtContent>
    </w:sdt>
    <w:p w14:paraId="62501C86" w14:textId="77777777" w:rsidR="00F336DC" w:rsidRDefault="00F336DC" w:rsidP="009A08F7">
      <w:pPr>
        <w:pStyle w:val="Heading1"/>
      </w:pPr>
      <w:bookmarkStart w:id="0" w:name="_Toc121215137"/>
      <w:bookmarkStart w:id="1" w:name="_Hlk121769383"/>
      <w:r>
        <w:t>Introduction</w:t>
      </w:r>
      <w:bookmarkEnd w:id="0"/>
    </w:p>
    <w:p w14:paraId="36632ED3" w14:textId="77777777" w:rsidR="00247AFB" w:rsidRDefault="00247AFB" w:rsidP="00247AFB">
      <w:pPr>
        <w:rPr>
          <w:rFonts w:ascii="Arial" w:hAnsi="Arial" w:cs="Arial"/>
          <w:sz w:val="24"/>
          <w:szCs w:val="24"/>
        </w:rPr>
      </w:pPr>
      <w:bookmarkStart w:id="2" w:name="_Hlk121825460"/>
      <w:r>
        <w:rPr>
          <w:rFonts w:ascii="Arial" w:hAnsi="Arial" w:cs="Arial"/>
          <w:sz w:val="24"/>
          <w:szCs w:val="24"/>
        </w:rPr>
        <w:t xml:space="preserve">The global climate crisis has the potential to be catastrophic on multiple levels, it threatens to undermine the entire sustenance system for earth’s biotic life, including drinking water, clean air, food supply and shelter. The World Health </w:t>
      </w:r>
      <w:proofErr w:type="gramStart"/>
      <w:r>
        <w:rPr>
          <w:rFonts w:ascii="Arial" w:hAnsi="Arial" w:cs="Arial"/>
          <w:sz w:val="24"/>
          <w:szCs w:val="24"/>
        </w:rPr>
        <w:t>Organization(</w:t>
      </w:r>
      <w:proofErr w:type="gramEnd"/>
      <w:r>
        <w:rPr>
          <w:rFonts w:ascii="Arial" w:hAnsi="Arial" w:cs="Arial"/>
          <w:sz w:val="24"/>
          <w:szCs w:val="24"/>
        </w:rPr>
        <w:t>WHO) estimates that, between 2030 and 2050, “</w:t>
      </w:r>
      <w:r w:rsidRPr="00D93A9C">
        <w:rPr>
          <w:rFonts w:ascii="Arial" w:hAnsi="Arial" w:cs="Arial"/>
          <w:color w:val="000000" w:themeColor="text1"/>
          <w:sz w:val="24"/>
          <w:szCs w:val="24"/>
        </w:rPr>
        <w:t xml:space="preserve">climate change is expected to cause approximately 250 000 additional deaths per year from malnutrition, malaria, diarrhea and heat stress alone. The direct damage costs to health are estimated to be between US$ 2–4 billion per year by 2030. Areas with weak health infrastructure – mostly in developing countries – will be the least able to cope without assistance to prepare and </w:t>
      </w:r>
      <w:proofErr w:type="gramStart"/>
      <w:r w:rsidRPr="00D93A9C">
        <w:rPr>
          <w:rFonts w:ascii="Arial" w:hAnsi="Arial" w:cs="Arial"/>
          <w:color w:val="000000" w:themeColor="text1"/>
          <w:sz w:val="24"/>
          <w:szCs w:val="24"/>
        </w:rPr>
        <w:t>respond</w:t>
      </w:r>
      <w:r>
        <w:rPr>
          <w:rFonts w:ascii="Arial" w:hAnsi="Arial" w:cs="Arial"/>
          <w:color w:val="000000" w:themeColor="text1"/>
          <w:sz w:val="24"/>
          <w:szCs w:val="24"/>
        </w:rPr>
        <w:t>”</w:t>
      </w:r>
      <w:r w:rsidRPr="00D93A9C">
        <w:rPr>
          <w:rFonts w:ascii="Arial" w:hAnsi="Arial" w:cs="Arial"/>
          <w:color w:val="000000" w:themeColor="text1"/>
          <w:sz w:val="24"/>
          <w:szCs w:val="24"/>
        </w:rPr>
        <w:t>(</w:t>
      </w:r>
      <w:proofErr w:type="gramEnd"/>
      <w:r w:rsidRPr="00D93A9C">
        <w:rPr>
          <w:rFonts w:ascii="Arial" w:hAnsi="Arial" w:cs="Arial"/>
          <w:color w:val="000000" w:themeColor="text1"/>
          <w:sz w:val="24"/>
          <w:szCs w:val="24"/>
        </w:rPr>
        <w:t xml:space="preserve">WHO,2022). </w:t>
      </w:r>
      <w:r>
        <w:rPr>
          <w:rFonts w:ascii="Arial" w:hAnsi="Arial" w:cs="Arial"/>
          <w:sz w:val="24"/>
          <w:szCs w:val="24"/>
        </w:rPr>
        <w:t xml:space="preserve">In 2015, a symposium was formed of 196 different countries whose goal was to set a limit on global warming to well below 2 degrees Celsius in comparison to pre-industrial </w:t>
      </w:r>
      <w:proofErr w:type="gramStart"/>
      <w:r>
        <w:rPr>
          <w:rFonts w:ascii="Arial" w:hAnsi="Arial" w:cs="Arial"/>
          <w:sz w:val="24"/>
          <w:szCs w:val="24"/>
        </w:rPr>
        <w:t>levels(</w:t>
      </w:r>
      <w:proofErr w:type="gramEnd"/>
      <w:r>
        <w:rPr>
          <w:rFonts w:ascii="Arial" w:hAnsi="Arial" w:cs="Arial"/>
          <w:sz w:val="24"/>
          <w:szCs w:val="24"/>
        </w:rPr>
        <w:t>United Nations, 2015). This symposium led to an agreement known as The Paris Agreement, a legally binding international treaty on climate change adopted at the United Nations COP 21 meeting in Paris on the 12</w:t>
      </w:r>
      <w:r w:rsidRPr="009D51F1">
        <w:rPr>
          <w:rFonts w:ascii="Arial" w:hAnsi="Arial" w:cs="Arial"/>
          <w:sz w:val="24"/>
          <w:szCs w:val="24"/>
          <w:vertAlign w:val="superscript"/>
        </w:rPr>
        <w:t>th</w:t>
      </w:r>
      <w:r>
        <w:rPr>
          <w:rFonts w:ascii="Arial" w:hAnsi="Arial" w:cs="Arial"/>
          <w:sz w:val="24"/>
          <w:szCs w:val="24"/>
        </w:rPr>
        <w:t xml:space="preserve"> of December 2015 and was made operative on the 4</w:t>
      </w:r>
      <w:r w:rsidRPr="009D51F1">
        <w:rPr>
          <w:rFonts w:ascii="Arial" w:hAnsi="Arial" w:cs="Arial"/>
          <w:sz w:val="24"/>
          <w:szCs w:val="24"/>
          <w:vertAlign w:val="superscript"/>
        </w:rPr>
        <w:t>th</w:t>
      </w:r>
      <w:r>
        <w:rPr>
          <w:rFonts w:ascii="Arial" w:hAnsi="Arial" w:cs="Arial"/>
          <w:sz w:val="24"/>
          <w:szCs w:val="24"/>
        </w:rPr>
        <w:t xml:space="preserve"> of </w:t>
      </w:r>
      <w:proofErr w:type="gramStart"/>
      <w:r>
        <w:rPr>
          <w:rFonts w:ascii="Arial" w:hAnsi="Arial" w:cs="Arial"/>
          <w:sz w:val="24"/>
          <w:szCs w:val="24"/>
        </w:rPr>
        <w:t>November,</w:t>
      </w:r>
      <w:proofErr w:type="gramEnd"/>
      <w:r>
        <w:rPr>
          <w:rFonts w:ascii="Arial" w:hAnsi="Arial" w:cs="Arial"/>
          <w:sz w:val="24"/>
          <w:szCs w:val="24"/>
        </w:rPr>
        <w:t xml:space="preserve"> 2016.</w:t>
      </w:r>
    </w:p>
    <w:p w14:paraId="16082EF2" w14:textId="77777777" w:rsidR="00247AFB" w:rsidRDefault="00247AFB" w:rsidP="00247AFB">
      <w:pPr>
        <w:rPr>
          <w:rFonts w:ascii="Arial" w:hAnsi="Arial" w:cs="Arial"/>
          <w:sz w:val="24"/>
          <w:szCs w:val="24"/>
        </w:rPr>
      </w:pPr>
      <w:r>
        <w:rPr>
          <w:rFonts w:ascii="Arial" w:hAnsi="Arial" w:cs="Arial"/>
          <w:sz w:val="24"/>
          <w:szCs w:val="24"/>
        </w:rPr>
        <w:t xml:space="preserve">The Climate crisis will produce as a consequence of itself a number of crucial security issues, inter-state relationships are forecasted to become increasingly strained as different argues debate how to reduce emissions, Internal conflicts within countries(developing countries particularly) are likely to increase as vital resources become scarce, this coupled with a highly likelihood of more extreme weather patterns will increase the risk conflicts over water and mass migration of people from the worst hit countries to relatively better off countries(National Intelligence Council, 2021). With the UK seeing a new high in net migration since the second world </w:t>
      </w:r>
      <w:proofErr w:type="gramStart"/>
      <w:r>
        <w:rPr>
          <w:rFonts w:ascii="Arial" w:hAnsi="Arial" w:cs="Arial"/>
          <w:sz w:val="24"/>
          <w:szCs w:val="24"/>
        </w:rPr>
        <w:t>war(</w:t>
      </w:r>
      <w:proofErr w:type="gramEnd"/>
      <w:r>
        <w:rPr>
          <w:rFonts w:ascii="Arial" w:hAnsi="Arial" w:cs="Arial"/>
          <w:sz w:val="24"/>
          <w:szCs w:val="24"/>
        </w:rPr>
        <w:t xml:space="preserve">Office for National Statistics, 2022) the climate crisis takes on a new dimension, one that requires the active involvement of the ministry of defense and all </w:t>
      </w:r>
      <w:proofErr w:type="spellStart"/>
      <w:r>
        <w:rPr>
          <w:rFonts w:ascii="Arial" w:hAnsi="Arial" w:cs="Arial"/>
          <w:sz w:val="24"/>
          <w:szCs w:val="24"/>
        </w:rPr>
        <w:t>it’s</w:t>
      </w:r>
      <w:proofErr w:type="spellEnd"/>
      <w:r>
        <w:rPr>
          <w:rFonts w:ascii="Arial" w:hAnsi="Arial" w:cs="Arial"/>
          <w:sz w:val="24"/>
          <w:szCs w:val="24"/>
        </w:rPr>
        <w:t xml:space="preserve"> major suppliers across the supply chain.</w:t>
      </w:r>
    </w:p>
    <w:p w14:paraId="52FDA8AB" w14:textId="0A93F40E" w:rsidR="00335A94" w:rsidRDefault="00247AFB">
      <w:pPr>
        <w:rPr>
          <w:rFonts w:ascii="Arial" w:hAnsi="Arial" w:cs="Arial"/>
          <w:sz w:val="24"/>
          <w:szCs w:val="24"/>
        </w:rPr>
      </w:pPr>
      <w:r>
        <w:rPr>
          <w:rFonts w:ascii="Arial" w:hAnsi="Arial" w:cs="Arial"/>
          <w:sz w:val="24"/>
          <w:szCs w:val="24"/>
        </w:rPr>
        <w:t xml:space="preserve">Babcock is a British engineering and defense services company and is one of the UK </w:t>
      </w:r>
      <w:proofErr w:type="gramStart"/>
      <w:r>
        <w:rPr>
          <w:rFonts w:ascii="Arial" w:hAnsi="Arial" w:cs="Arial"/>
          <w:sz w:val="24"/>
          <w:szCs w:val="24"/>
        </w:rPr>
        <w:t>ministry</w:t>
      </w:r>
      <w:proofErr w:type="gramEnd"/>
      <w:r>
        <w:rPr>
          <w:rFonts w:ascii="Arial" w:hAnsi="Arial" w:cs="Arial"/>
          <w:sz w:val="24"/>
          <w:szCs w:val="24"/>
        </w:rPr>
        <w:t xml:space="preserve"> of defense’s biggest suppliers and managers of </w:t>
      </w:r>
      <w:r w:rsidR="00E53A4D">
        <w:rPr>
          <w:rFonts w:ascii="Arial" w:hAnsi="Arial" w:cs="Arial"/>
          <w:sz w:val="24"/>
          <w:szCs w:val="24"/>
        </w:rPr>
        <w:t>mission critical defense</w:t>
      </w:r>
      <w:r>
        <w:rPr>
          <w:rFonts w:ascii="Arial" w:hAnsi="Arial" w:cs="Arial"/>
          <w:sz w:val="24"/>
          <w:szCs w:val="24"/>
        </w:rPr>
        <w:t xml:space="preserve"> assets and infrastructure. In recognition of the critical issues presented by the climate crisis, Babcock put into effect it’s climate strategy “Plan Zero 40”, committing itself to delivering net zero emissions from Scopes one and two by 2040 and Scope three by 2050. This report will analyze Babcock’s climate strategy, outline areas of strength, </w:t>
      </w:r>
      <w:proofErr w:type="gramStart"/>
      <w:r>
        <w:rPr>
          <w:rFonts w:ascii="Arial" w:hAnsi="Arial" w:cs="Arial"/>
          <w:sz w:val="24"/>
          <w:szCs w:val="24"/>
        </w:rPr>
        <w:t>weakness</w:t>
      </w:r>
      <w:proofErr w:type="gramEnd"/>
      <w:r>
        <w:rPr>
          <w:rFonts w:ascii="Arial" w:hAnsi="Arial" w:cs="Arial"/>
          <w:sz w:val="24"/>
          <w:szCs w:val="24"/>
        </w:rPr>
        <w:t xml:space="preserve"> and opportunity and the finally build upon the outlined opportunities to provide strategic recommendations for improving the organization’s climate strategy.</w:t>
      </w:r>
    </w:p>
    <w:p w14:paraId="683C8F25" w14:textId="77777777" w:rsidR="00335A94" w:rsidRDefault="00335A94" w:rsidP="009A08F7">
      <w:pPr>
        <w:pStyle w:val="Heading1"/>
      </w:pPr>
      <w:bookmarkStart w:id="3" w:name="_Toc121215138"/>
      <w:r>
        <w:t>Strategy Review</w:t>
      </w:r>
      <w:bookmarkEnd w:id="3"/>
    </w:p>
    <w:p w14:paraId="764C7546" w14:textId="77777777" w:rsidR="0085735F" w:rsidRDefault="005A6490">
      <w:pPr>
        <w:rPr>
          <w:rFonts w:ascii="Arial" w:hAnsi="Arial" w:cs="Arial"/>
          <w:sz w:val="25"/>
          <w:szCs w:val="25"/>
        </w:rPr>
      </w:pPr>
      <w:r>
        <w:rPr>
          <w:rFonts w:ascii="Arial" w:hAnsi="Arial" w:cs="Arial"/>
          <w:sz w:val="24"/>
          <w:szCs w:val="24"/>
        </w:rPr>
        <w:t xml:space="preserve">For an organization to identify all emissions set off by </w:t>
      </w:r>
      <w:proofErr w:type="spellStart"/>
      <w:proofErr w:type="gramStart"/>
      <w:r>
        <w:rPr>
          <w:rFonts w:ascii="Arial" w:hAnsi="Arial" w:cs="Arial"/>
          <w:sz w:val="24"/>
          <w:szCs w:val="24"/>
        </w:rPr>
        <w:t>it’s</w:t>
      </w:r>
      <w:proofErr w:type="spellEnd"/>
      <w:proofErr w:type="gramEnd"/>
      <w:r>
        <w:rPr>
          <w:rFonts w:ascii="Arial" w:hAnsi="Arial" w:cs="Arial"/>
          <w:sz w:val="24"/>
          <w:szCs w:val="24"/>
        </w:rPr>
        <w:t xml:space="preserve"> operations, greenhouse gas (GHG) emissions</w:t>
      </w:r>
      <w:r w:rsidR="00B5370B">
        <w:rPr>
          <w:rFonts w:ascii="Arial" w:hAnsi="Arial" w:cs="Arial"/>
          <w:sz w:val="24"/>
          <w:szCs w:val="24"/>
        </w:rPr>
        <w:t xml:space="preserve"> </w:t>
      </w:r>
      <w:r>
        <w:rPr>
          <w:rFonts w:ascii="Arial" w:hAnsi="Arial" w:cs="Arial"/>
          <w:sz w:val="24"/>
          <w:szCs w:val="24"/>
        </w:rPr>
        <w:t>are categorized into direct emissions, of which all emissions come from sources that are owned by the organization, and in-direct emissions, of which all emissions are set off due to the activities of the organization but have their source from entities owned or controlled by another company. To increase transparency and accuracy direct and indirect emissions are further delineated into three “scopes”</w:t>
      </w:r>
      <w:r w:rsidR="00EF4751">
        <w:rPr>
          <w:rFonts w:ascii="Arial" w:hAnsi="Arial" w:cs="Arial"/>
          <w:sz w:val="24"/>
          <w:szCs w:val="24"/>
        </w:rPr>
        <w:t xml:space="preserve">. Scope 1 emissions are those that occur from sources owned by the organizations, scope 2 emissions are those that occur </w:t>
      </w:r>
      <w:r w:rsidR="00442290">
        <w:rPr>
          <w:rFonts w:ascii="Arial" w:hAnsi="Arial" w:cs="Arial"/>
          <w:sz w:val="25"/>
          <w:szCs w:val="25"/>
        </w:rPr>
        <w:t xml:space="preserve">from the generation of purchased </w:t>
      </w:r>
      <w:proofErr w:type="gramStart"/>
      <w:r w:rsidR="00442290">
        <w:rPr>
          <w:rFonts w:ascii="Arial" w:hAnsi="Arial" w:cs="Arial"/>
          <w:sz w:val="25"/>
          <w:szCs w:val="25"/>
        </w:rPr>
        <w:t>electricity(</w:t>
      </w:r>
      <w:proofErr w:type="gramEnd"/>
      <w:r w:rsidR="00442290">
        <w:rPr>
          <w:rFonts w:ascii="Arial" w:hAnsi="Arial" w:cs="Arial"/>
          <w:sz w:val="25"/>
          <w:szCs w:val="25"/>
        </w:rPr>
        <w:t>or heat)</w:t>
      </w:r>
      <w:r w:rsidR="00442290">
        <w:rPr>
          <w:rFonts w:ascii="Arial" w:hAnsi="Arial" w:cs="Arial"/>
          <w:sz w:val="15"/>
          <w:szCs w:val="15"/>
        </w:rPr>
        <w:t xml:space="preserve"> </w:t>
      </w:r>
      <w:r w:rsidR="00442290">
        <w:rPr>
          <w:rFonts w:ascii="Arial" w:hAnsi="Arial" w:cs="Arial"/>
          <w:sz w:val="25"/>
          <w:szCs w:val="25"/>
        </w:rPr>
        <w:t>consumed by the organization and finally scope 3 emissions are those that occur from sources not owned or</w:t>
      </w:r>
      <w:r w:rsidR="00442290">
        <w:t xml:space="preserve"> </w:t>
      </w:r>
      <w:r w:rsidR="00442290">
        <w:rPr>
          <w:rFonts w:ascii="Arial" w:hAnsi="Arial" w:cs="Arial"/>
          <w:sz w:val="25"/>
          <w:szCs w:val="25"/>
        </w:rPr>
        <w:t>controlled by the company but are released as a result of activities undertaken on behalf of the organization(Greenhouse Gas Protocol, 2015).</w:t>
      </w:r>
    </w:p>
    <w:p w14:paraId="6E3C01C7" w14:textId="2DFC32AD" w:rsidR="00442290" w:rsidRPr="0054170C" w:rsidRDefault="00BC11A3">
      <w:pPr>
        <w:rPr>
          <w:rFonts w:ascii="Arial" w:hAnsi="Arial" w:cs="Arial"/>
          <w:sz w:val="25"/>
          <w:szCs w:val="25"/>
        </w:rPr>
      </w:pPr>
      <w:r>
        <w:rPr>
          <w:rFonts w:ascii="Arial" w:hAnsi="Arial" w:cs="Arial"/>
          <w:sz w:val="25"/>
          <w:szCs w:val="25"/>
        </w:rPr>
        <w:t xml:space="preserve">Babcock’s “Plan Zero 40” strategy </w:t>
      </w:r>
      <w:r w:rsidR="00DD7497">
        <w:rPr>
          <w:rFonts w:ascii="Arial" w:hAnsi="Arial" w:cs="Arial"/>
          <w:sz w:val="25"/>
          <w:szCs w:val="25"/>
        </w:rPr>
        <w:t>is an emission reduction initiative</w:t>
      </w:r>
      <w:r w:rsidR="0070439C">
        <w:rPr>
          <w:rFonts w:ascii="Arial" w:hAnsi="Arial" w:cs="Arial"/>
          <w:sz w:val="25"/>
          <w:szCs w:val="25"/>
        </w:rPr>
        <w:t xml:space="preserve"> that commits the organization to a </w:t>
      </w:r>
      <w:proofErr w:type="gramStart"/>
      <w:r w:rsidR="0070439C">
        <w:rPr>
          <w:rFonts w:ascii="Arial" w:hAnsi="Arial" w:cs="Arial"/>
          <w:sz w:val="25"/>
          <w:szCs w:val="25"/>
        </w:rPr>
        <w:t>science based</w:t>
      </w:r>
      <w:proofErr w:type="gramEnd"/>
      <w:r w:rsidR="0070439C">
        <w:rPr>
          <w:rFonts w:ascii="Arial" w:hAnsi="Arial" w:cs="Arial"/>
          <w:sz w:val="25"/>
          <w:szCs w:val="25"/>
        </w:rPr>
        <w:t xml:space="preserve"> target in accordance with the 1.5 degree Celsius limit to global warming and to transitioning to Net Zero within </w:t>
      </w:r>
      <w:proofErr w:type="spellStart"/>
      <w:r w:rsidR="0070439C">
        <w:rPr>
          <w:rFonts w:ascii="Arial" w:hAnsi="Arial" w:cs="Arial"/>
          <w:sz w:val="25"/>
          <w:szCs w:val="25"/>
        </w:rPr>
        <w:t>it’s</w:t>
      </w:r>
      <w:proofErr w:type="spellEnd"/>
      <w:r w:rsidR="0070439C">
        <w:rPr>
          <w:rFonts w:ascii="Arial" w:hAnsi="Arial" w:cs="Arial"/>
          <w:sz w:val="25"/>
          <w:szCs w:val="25"/>
        </w:rPr>
        <w:t xml:space="preserve"> scope 1 and scope 2 emissions by 2040</w:t>
      </w:r>
      <w:r w:rsidR="005741BE">
        <w:rPr>
          <w:rFonts w:ascii="Arial" w:hAnsi="Arial" w:cs="Arial"/>
          <w:sz w:val="25"/>
          <w:szCs w:val="25"/>
        </w:rPr>
        <w:t xml:space="preserve"> and then it’s scope 3 emissions by 2050</w:t>
      </w:r>
      <w:r w:rsidR="00AC0172">
        <w:rPr>
          <w:rStyle w:val="EndnoteReference"/>
          <w:rFonts w:ascii="Arial" w:hAnsi="Arial" w:cs="Arial"/>
          <w:sz w:val="25"/>
          <w:szCs w:val="25"/>
        </w:rPr>
        <w:endnoteReference w:id="1"/>
      </w:r>
      <w:r w:rsidR="005741BE">
        <w:rPr>
          <w:rFonts w:ascii="Arial" w:hAnsi="Arial" w:cs="Arial"/>
          <w:sz w:val="25"/>
          <w:szCs w:val="25"/>
        </w:rPr>
        <w:t xml:space="preserve">. </w:t>
      </w:r>
      <w:r w:rsidR="002D5355">
        <w:rPr>
          <w:rFonts w:ascii="Arial" w:hAnsi="Arial" w:cs="Arial"/>
          <w:sz w:val="25"/>
          <w:szCs w:val="25"/>
        </w:rPr>
        <w:t>The annual report released by the Babcock group in</w:t>
      </w:r>
      <w:r w:rsidR="005741BE">
        <w:rPr>
          <w:rFonts w:ascii="Arial" w:hAnsi="Arial" w:cs="Arial"/>
          <w:sz w:val="25"/>
          <w:szCs w:val="25"/>
        </w:rPr>
        <w:t xml:space="preserve"> 2021</w:t>
      </w:r>
      <w:r w:rsidR="002D5355">
        <w:rPr>
          <w:rFonts w:ascii="Arial" w:hAnsi="Arial" w:cs="Arial"/>
          <w:sz w:val="25"/>
          <w:szCs w:val="25"/>
        </w:rPr>
        <w:t xml:space="preserve"> indicates that</w:t>
      </w:r>
      <w:r w:rsidR="00FF2E85">
        <w:rPr>
          <w:rFonts w:ascii="Arial" w:hAnsi="Arial" w:cs="Arial"/>
          <w:sz w:val="25"/>
          <w:szCs w:val="25"/>
        </w:rPr>
        <w:t xml:space="preserve"> for the year 2021</w:t>
      </w:r>
      <w:r w:rsidR="005741BE">
        <w:rPr>
          <w:rFonts w:ascii="Arial" w:hAnsi="Arial" w:cs="Arial"/>
          <w:sz w:val="25"/>
          <w:szCs w:val="25"/>
        </w:rPr>
        <w:t xml:space="preserve"> the </w:t>
      </w:r>
      <w:r w:rsidR="002D5355">
        <w:rPr>
          <w:rFonts w:ascii="Arial" w:hAnsi="Arial" w:cs="Arial"/>
          <w:sz w:val="25"/>
          <w:szCs w:val="25"/>
        </w:rPr>
        <w:t>organization</w:t>
      </w:r>
      <w:r w:rsidR="005741BE">
        <w:rPr>
          <w:rFonts w:ascii="Arial" w:hAnsi="Arial" w:cs="Arial"/>
          <w:sz w:val="25"/>
          <w:szCs w:val="25"/>
        </w:rPr>
        <w:t xml:space="preserve"> </w:t>
      </w:r>
      <w:r w:rsidR="006061C9">
        <w:rPr>
          <w:rFonts w:ascii="Arial" w:hAnsi="Arial" w:cs="Arial"/>
          <w:sz w:val="25"/>
          <w:szCs w:val="25"/>
        </w:rPr>
        <w:t xml:space="preserve">emitted some 200,705 </w:t>
      </w:r>
      <w:proofErr w:type="spellStart"/>
      <w:r w:rsidR="006061C9">
        <w:rPr>
          <w:rFonts w:ascii="Arial" w:hAnsi="Arial" w:cs="Arial"/>
          <w:sz w:val="25"/>
          <w:szCs w:val="25"/>
        </w:rPr>
        <w:t>tonnes</w:t>
      </w:r>
      <w:proofErr w:type="spellEnd"/>
      <w:r w:rsidR="006061C9">
        <w:rPr>
          <w:rFonts w:ascii="Arial" w:hAnsi="Arial" w:cs="Arial"/>
          <w:sz w:val="25"/>
          <w:szCs w:val="25"/>
        </w:rPr>
        <w:t xml:space="preserve"> of carbon dioxide equivalent(tCO</w:t>
      </w:r>
      <w:r w:rsidR="006061C9" w:rsidRPr="0081370D">
        <w:rPr>
          <w:rFonts w:ascii="Arial" w:hAnsi="Arial" w:cs="Arial"/>
          <w:sz w:val="25"/>
          <w:szCs w:val="25"/>
          <w:vertAlign w:val="subscript"/>
        </w:rPr>
        <w:t>2</w:t>
      </w:r>
      <w:r w:rsidR="006061C9">
        <w:rPr>
          <w:rFonts w:ascii="Arial" w:hAnsi="Arial" w:cs="Arial"/>
          <w:sz w:val="25"/>
          <w:szCs w:val="25"/>
        </w:rPr>
        <w:t xml:space="preserve">e), 95% of which was a result of emissions from scopes 1 and </w:t>
      </w:r>
      <w:r w:rsidR="00CF6B9A">
        <w:rPr>
          <w:rFonts w:ascii="Arial" w:hAnsi="Arial" w:cs="Arial"/>
          <w:sz w:val="25"/>
          <w:szCs w:val="25"/>
        </w:rPr>
        <w:t>2</w:t>
      </w:r>
      <w:r w:rsidR="00785365">
        <w:rPr>
          <w:rFonts w:ascii="Arial" w:hAnsi="Arial" w:cs="Arial"/>
          <w:sz w:val="25"/>
          <w:szCs w:val="25"/>
        </w:rPr>
        <w:t>(Babcock, 2021)</w:t>
      </w:r>
      <w:r w:rsidR="0054170C">
        <w:rPr>
          <w:rFonts w:ascii="Arial" w:hAnsi="Arial" w:cs="Arial"/>
          <w:sz w:val="25"/>
          <w:szCs w:val="25"/>
        </w:rPr>
        <w:t>, decreasing from 229,103 tCO</w:t>
      </w:r>
      <w:r w:rsidR="0054170C" w:rsidRPr="0054170C">
        <w:rPr>
          <w:rFonts w:ascii="Arial" w:hAnsi="Arial" w:cs="Arial"/>
          <w:sz w:val="25"/>
          <w:szCs w:val="25"/>
          <w:vertAlign w:val="subscript"/>
        </w:rPr>
        <w:t xml:space="preserve">2 </w:t>
      </w:r>
      <w:r w:rsidR="0054170C">
        <w:rPr>
          <w:rFonts w:ascii="Arial" w:hAnsi="Arial" w:cs="Arial"/>
          <w:sz w:val="25"/>
          <w:szCs w:val="25"/>
        </w:rPr>
        <w:t>in 2020 and 258,328 tCO</w:t>
      </w:r>
      <w:r w:rsidR="0054170C" w:rsidRPr="0054170C">
        <w:rPr>
          <w:rFonts w:ascii="Arial" w:hAnsi="Arial" w:cs="Arial"/>
          <w:sz w:val="25"/>
          <w:szCs w:val="25"/>
          <w:vertAlign w:val="subscript"/>
        </w:rPr>
        <w:t>2</w:t>
      </w:r>
      <w:r w:rsidR="0054170C">
        <w:rPr>
          <w:rFonts w:ascii="Arial" w:hAnsi="Arial" w:cs="Arial"/>
          <w:sz w:val="25"/>
          <w:szCs w:val="25"/>
          <w:vertAlign w:val="subscript"/>
        </w:rPr>
        <w:t xml:space="preserve"> </w:t>
      </w:r>
      <w:r w:rsidR="0054170C">
        <w:rPr>
          <w:rFonts w:ascii="Arial" w:hAnsi="Arial" w:cs="Arial"/>
          <w:sz w:val="25"/>
          <w:szCs w:val="25"/>
        </w:rPr>
        <w:t>the previous year.</w:t>
      </w:r>
    </w:p>
    <w:p w14:paraId="0F1D192C" w14:textId="20042E54" w:rsidR="002D5355" w:rsidRDefault="004461DB">
      <w:pPr>
        <w:rPr>
          <w:rFonts w:ascii="Arial" w:hAnsi="Arial" w:cs="Arial"/>
          <w:sz w:val="25"/>
          <w:szCs w:val="25"/>
        </w:rPr>
      </w:pPr>
      <w:r>
        <w:rPr>
          <w:rFonts w:ascii="Arial" w:hAnsi="Arial" w:cs="Arial"/>
          <w:sz w:val="25"/>
          <w:szCs w:val="25"/>
        </w:rPr>
        <w:t xml:space="preserve">Given the importance and immediacy of meeting their 2040 Net zero emissions benchmark for scope 1 and scope 2, the </w:t>
      </w:r>
      <w:r w:rsidR="00E6630C">
        <w:rPr>
          <w:rFonts w:ascii="Arial" w:hAnsi="Arial" w:cs="Arial"/>
          <w:sz w:val="25"/>
          <w:szCs w:val="25"/>
        </w:rPr>
        <w:t>Babcock</w:t>
      </w:r>
      <w:r w:rsidR="00EF4EE8">
        <w:rPr>
          <w:rFonts w:ascii="Arial" w:hAnsi="Arial" w:cs="Arial"/>
          <w:sz w:val="25"/>
          <w:szCs w:val="25"/>
        </w:rPr>
        <w:t xml:space="preserve"> group</w:t>
      </w:r>
      <w:r>
        <w:rPr>
          <w:rFonts w:ascii="Arial" w:hAnsi="Arial" w:cs="Arial"/>
          <w:sz w:val="25"/>
          <w:szCs w:val="25"/>
        </w:rPr>
        <w:t xml:space="preserve"> has put together a tentative sustainability strategy</w:t>
      </w:r>
      <w:r w:rsidR="00E6630C">
        <w:rPr>
          <w:rFonts w:ascii="Arial" w:hAnsi="Arial" w:cs="Arial"/>
          <w:sz w:val="25"/>
          <w:szCs w:val="25"/>
        </w:rPr>
        <w:t xml:space="preserve"> to be able to meet this target, these strategies present both opportunities and risks</w:t>
      </w:r>
      <w:r w:rsidR="00DA13EA">
        <w:rPr>
          <w:rFonts w:ascii="Arial" w:hAnsi="Arial" w:cs="Arial"/>
          <w:sz w:val="25"/>
          <w:szCs w:val="25"/>
        </w:rPr>
        <w:t xml:space="preserve"> to the business, a summary of these risks and opportunities are </w:t>
      </w:r>
      <w:r w:rsidR="00247AFB">
        <w:rPr>
          <w:rFonts w:ascii="Arial" w:hAnsi="Arial" w:cs="Arial"/>
          <w:sz w:val="25"/>
          <w:szCs w:val="25"/>
        </w:rPr>
        <w:t>outlined</w:t>
      </w:r>
      <w:r w:rsidR="00DA13EA">
        <w:rPr>
          <w:rFonts w:ascii="Arial" w:hAnsi="Arial" w:cs="Arial"/>
          <w:sz w:val="25"/>
          <w:szCs w:val="25"/>
        </w:rPr>
        <w:t xml:space="preserve"> in the following </w:t>
      </w:r>
      <w:proofErr w:type="gramStart"/>
      <w:r w:rsidR="00DA13EA">
        <w:rPr>
          <w:rFonts w:ascii="Arial" w:hAnsi="Arial" w:cs="Arial"/>
          <w:sz w:val="25"/>
          <w:szCs w:val="25"/>
        </w:rPr>
        <w:t>table;</w:t>
      </w:r>
      <w:proofErr w:type="gramEnd"/>
    </w:p>
    <w:p w14:paraId="6A5B536C" w14:textId="77777777" w:rsidR="00DA13EA" w:rsidRDefault="005B09D0">
      <w:pPr>
        <w:rPr>
          <w:rFonts w:ascii="Arial" w:hAnsi="Arial" w:cs="Arial"/>
          <w:sz w:val="24"/>
          <w:szCs w:val="24"/>
        </w:rPr>
      </w:pPr>
      <w:r>
        <w:rPr>
          <w:rFonts w:ascii="Arial" w:hAnsi="Arial" w:cs="Arial"/>
          <w:noProof/>
          <w:sz w:val="24"/>
          <w:szCs w:val="24"/>
        </w:rPr>
        <w:lastRenderedPageBreak/>
        <w:drawing>
          <wp:inline distT="0" distB="0" distL="0" distR="0" wp14:anchorId="48B098BB" wp14:editId="39E00B69">
            <wp:extent cx="8686800" cy="6124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8686800" cy="6124575"/>
                    </a:xfrm>
                    <a:prstGeom prst="rect">
                      <a:avLst/>
                    </a:prstGeom>
                  </pic:spPr>
                </pic:pic>
              </a:graphicData>
            </a:graphic>
          </wp:inline>
        </w:drawing>
      </w:r>
    </w:p>
    <w:p w14:paraId="4C9C370B" w14:textId="77777777" w:rsidR="004F5EB0" w:rsidRPr="004F65E8" w:rsidRDefault="004F65E8" w:rsidP="004F65E8">
      <w:pPr>
        <w:jc w:val="center"/>
        <w:rPr>
          <w:rFonts w:ascii="Arial" w:hAnsi="Arial" w:cs="Arial"/>
          <w:i/>
          <w:iCs/>
          <w:sz w:val="20"/>
          <w:szCs w:val="20"/>
          <w:u w:val="single"/>
        </w:rPr>
      </w:pPr>
      <w:r>
        <w:rPr>
          <w:rFonts w:ascii="Arial" w:hAnsi="Arial" w:cs="Arial"/>
          <w:i/>
          <w:iCs/>
          <w:sz w:val="20"/>
          <w:szCs w:val="20"/>
          <w:u w:val="single"/>
        </w:rPr>
        <w:t>Figure Analyzing Babcock’s Strategies for Scopes 1 and 2 using the SWOT Model</w:t>
      </w:r>
    </w:p>
    <w:p w14:paraId="1FF86E8D" w14:textId="498D1D0C" w:rsidR="00247AFB" w:rsidRDefault="00247AFB" w:rsidP="00247AFB">
      <w:pPr>
        <w:rPr>
          <w:rFonts w:ascii="Arial" w:hAnsi="Arial" w:cs="Arial"/>
          <w:sz w:val="24"/>
          <w:szCs w:val="24"/>
        </w:rPr>
      </w:pPr>
      <w:bookmarkStart w:id="4" w:name="_Toc121215139"/>
      <w:r>
        <w:rPr>
          <w:rFonts w:ascii="Arial" w:hAnsi="Arial" w:cs="Arial"/>
          <w:sz w:val="24"/>
          <w:szCs w:val="24"/>
        </w:rPr>
        <w:t>Scope 3 related activities as reported on the annual report</w:t>
      </w:r>
      <w:r w:rsidR="00EF4EE8">
        <w:rPr>
          <w:rFonts w:ascii="Arial" w:hAnsi="Arial" w:cs="Arial"/>
          <w:sz w:val="24"/>
          <w:szCs w:val="24"/>
        </w:rPr>
        <w:t xml:space="preserve"> for the year 2021</w:t>
      </w:r>
      <w:r>
        <w:rPr>
          <w:rFonts w:ascii="Arial" w:hAnsi="Arial" w:cs="Arial"/>
          <w:sz w:val="24"/>
          <w:szCs w:val="24"/>
        </w:rPr>
        <w:t xml:space="preserve"> only accounted for 8050 tCO</w:t>
      </w:r>
      <w:r w:rsidRPr="0081370D">
        <w:rPr>
          <w:rFonts w:ascii="Arial" w:hAnsi="Arial" w:cs="Arial"/>
          <w:sz w:val="24"/>
          <w:szCs w:val="24"/>
          <w:vertAlign w:val="subscript"/>
        </w:rPr>
        <w:t>2</w:t>
      </w:r>
      <w:r>
        <w:rPr>
          <w:rFonts w:ascii="Arial" w:hAnsi="Arial" w:cs="Arial"/>
          <w:sz w:val="24"/>
          <w:szCs w:val="24"/>
        </w:rPr>
        <w:t>e of emissions,</w:t>
      </w:r>
      <w:r w:rsidRPr="008565A1">
        <w:rPr>
          <w:rFonts w:ascii="Arial" w:hAnsi="Arial" w:cs="Arial"/>
          <w:sz w:val="24"/>
          <w:szCs w:val="24"/>
        </w:rPr>
        <w:t xml:space="preserve"> </w:t>
      </w:r>
      <w:r>
        <w:rPr>
          <w:rFonts w:ascii="Arial" w:hAnsi="Arial" w:cs="Arial"/>
          <w:sz w:val="24"/>
          <w:szCs w:val="24"/>
        </w:rPr>
        <w:t>to curtail this issue the organization has committed to concurrently</w:t>
      </w:r>
      <w:r w:rsidRPr="006A520C">
        <w:rPr>
          <w:rFonts w:ascii="Arial" w:hAnsi="Arial" w:cs="Arial"/>
          <w:sz w:val="24"/>
          <w:szCs w:val="24"/>
        </w:rPr>
        <w:t xml:space="preserve"> </w:t>
      </w:r>
      <w:r>
        <w:rPr>
          <w:rFonts w:ascii="Arial" w:hAnsi="Arial" w:cs="Arial"/>
          <w:sz w:val="24"/>
          <w:szCs w:val="24"/>
        </w:rPr>
        <w:t>e</w:t>
      </w:r>
      <w:r w:rsidRPr="006A520C">
        <w:rPr>
          <w:rFonts w:ascii="Arial" w:hAnsi="Arial" w:cs="Arial"/>
          <w:sz w:val="24"/>
          <w:szCs w:val="24"/>
        </w:rPr>
        <w:t>ngag</w:t>
      </w:r>
      <w:r>
        <w:rPr>
          <w:rFonts w:ascii="Arial" w:hAnsi="Arial" w:cs="Arial"/>
          <w:sz w:val="24"/>
          <w:szCs w:val="24"/>
        </w:rPr>
        <w:t>e</w:t>
      </w:r>
      <w:r w:rsidRPr="006A520C">
        <w:rPr>
          <w:rFonts w:ascii="Arial" w:hAnsi="Arial" w:cs="Arial"/>
          <w:sz w:val="24"/>
          <w:szCs w:val="24"/>
        </w:rPr>
        <w:t xml:space="preserve"> the supply chain to understand, manage and reduce </w:t>
      </w:r>
      <w:proofErr w:type="spellStart"/>
      <w:r>
        <w:rPr>
          <w:rFonts w:ascii="Arial" w:hAnsi="Arial" w:cs="Arial"/>
          <w:sz w:val="24"/>
          <w:szCs w:val="24"/>
        </w:rPr>
        <w:t>it’s</w:t>
      </w:r>
      <w:proofErr w:type="spellEnd"/>
      <w:r w:rsidRPr="006A520C">
        <w:rPr>
          <w:rFonts w:ascii="Arial" w:hAnsi="Arial" w:cs="Arial"/>
          <w:sz w:val="24"/>
          <w:szCs w:val="24"/>
        </w:rPr>
        <w:t xml:space="preserve"> wider environmental impacts while also developing an environmental data management system</w:t>
      </w:r>
      <w:r>
        <w:rPr>
          <w:rFonts w:ascii="Arial" w:hAnsi="Arial" w:cs="Arial"/>
          <w:sz w:val="24"/>
          <w:szCs w:val="24"/>
        </w:rPr>
        <w:t>, p</w:t>
      </w:r>
      <w:r w:rsidRPr="006A520C">
        <w:rPr>
          <w:rFonts w:ascii="Arial" w:hAnsi="Arial" w:cs="Arial"/>
          <w:sz w:val="24"/>
          <w:szCs w:val="24"/>
        </w:rPr>
        <w:t>reparing waste management plans</w:t>
      </w:r>
      <w:r>
        <w:rPr>
          <w:rFonts w:ascii="Arial" w:hAnsi="Arial" w:cs="Arial"/>
          <w:sz w:val="24"/>
          <w:szCs w:val="24"/>
        </w:rPr>
        <w:t xml:space="preserve"> </w:t>
      </w:r>
      <w:r w:rsidRPr="006A520C">
        <w:rPr>
          <w:rFonts w:ascii="Arial" w:hAnsi="Arial" w:cs="Arial"/>
          <w:sz w:val="24"/>
          <w:szCs w:val="24"/>
        </w:rPr>
        <w:t>across all significant sites by 2024</w:t>
      </w:r>
      <w:r>
        <w:rPr>
          <w:rFonts w:ascii="Arial" w:hAnsi="Arial" w:cs="Arial"/>
          <w:sz w:val="24"/>
          <w:szCs w:val="24"/>
        </w:rPr>
        <w:t>, z</w:t>
      </w:r>
      <w:r w:rsidRPr="006A520C">
        <w:rPr>
          <w:rFonts w:ascii="Arial" w:hAnsi="Arial" w:cs="Arial"/>
          <w:sz w:val="24"/>
          <w:szCs w:val="24"/>
        </w:rPr>
        <w:t>ero controlled waste to landfill</w:t>
      </w:r>
      <w:r>
        <w:rPr>
          <w:rFonts w:ascii="Arial" w:hAnsi="Arial" w:cs="Arial"/>
          <w:sz w:val="24"/>
          <w:szCs w:val="24"/>
        </w:rPr>
        <w:t xml:space="preserve"> </w:t>
      </w:r>
      <w:r w:rsidRPr="006A520C">
        <w:rPr>
          <w:rFonts w:ascii="Arial" w:hAnsi="Arial" w:cs="Arial"/>
          <w:sz w:val="24"/>
          <w:szCs w:val="24"/>
        </w:rPr>
        <w:t>by 2025</w:t>
      </w:r>
      <w:r>
        <w:rPr>
          <w:rFonts w:ascii="Arial" w:hAnsi="Arial" w:cs="Arial"/>
          <w:sz w:val="24"/>
          <w:szCs w:val="24"/>
        </w:rPr>
        <w:t xml:space="preserve"> and e</w:t>
      </w:r>
      <w:r w:rsidRPr="007635BF">
        <w:rPr>
          <w:rFonts w:ascii="Arial" w:hAnsi="Arial" w:cs="Arial"/>
          <w:sz w:val="24"/>
          <w:szCs w:val="24"/>
        </w:rPr>
        <w:t>liminat</w:t>
      </w:r>
      <w:r>
        <w:rPr>
          <w:rFonts w:ascii="Arial" w:hAnsi="Arial" w:cs="Arial"/>
          <w:sz w:val="24"/>
          <w:szCs w:val="24"/>
        </w:rPr>
        <w:t>ing</w:t>
      </w:r>
      <w:r w:rsidRPr="007635BF">
        <w:rPr>
          <w:rFonts w:ascii="Arial" w:hAnsi="Arial" w:cs="Arial"/>
          <w:sz w:val="24"/>
          <w:szCs w:val="24"/>
        </w:rPr>
        <w:t xml:space="preserve"> the use of unavoidable</w:t>
      </w:r>
      <w:r>
        <w:rPr>
          <w:rFonts w:ascii="Arial" w:hAnsi="Arial" w:cs="Arial"/>
          <w:sz w:val="24"/>
          <w:szCs w:val="24"/>
        </w:rPr>
        <w:t xml:space="preserve"> </w:t>
      </w:r>
      <w:r w:rsidRPr="007635BF">
        <w:rPr>
          <w:rFonts w:ascii="Arial" w:hAnsi="Arial" w:cs="Arial"/>
          <w:sz w:val="24"/>
          <w:szCs w:val="24"/>
        </w:rPr>
        <w:t>single-use plastic by 2027</w:t>
      </w:r>
      <w:r>
        <w:rPr>
          <w:rFonts w:ascii="Arial" w:hAnsi="Arial" w:cs="Arial"/>
          <w:sz w:val="24"/>
          <w:szCs w:val="24"/>
        </w:rPr>
        <w:t xml:space="preserve">, however, a further delve into the organization’s publications found that the figure(and </w:t>
      </w:r>
      <w:proofErr w:type="spellStart"/>
      <w:r>
        <w:rPr>
          <w:rFonts w:ascii="Arial" w:hAnsi="Arial" w:cs="Arial"/>
          <w:sz w:val="24"/>
          <w:szCs w:val="24"/>
        </w:rPr>
        <w:t>it’s</w:t>
      </w:r>
      <w:proofErr w:type="spellEnd"/>
      <w:r>
        <w:rPr>
          <w:rFonts w:ascii="Arial" w:hAnsi="Arial" w:cs="Arial"/>
          <w:sz w:val="24"/>
          <w:szCs w:val="24"/>
        </w:rPr>
        <w:t xml:space="preserve"> accompanying strategies) reported in the annual report only accounted for upstream activities. Carbon reduction plans released in 2021 including both upstream and downstream activities provided an estimate of </w:t>
      </w:r>
      <w:r w:rsidRPr="00FF0AFA">
        <w:rPr>
          <w:rFonts w:ascii="Arial" w:hAnsi="Arial" w:cs="Arial"/>
          <w:sz w:val="24"/>
          <w:szCs w:val="24"/>
        </w:rPr>
        <w:t>613,464.2</w:t>
      </w:r>
      <w:r>
        <w:rPr>
          <w:rFonts w:ascii="Arial" w:hAnsi="Arial" w:cs="Arial"/>
          <w:sz w:val="24"/>
          <w:szCs w:val="24"/>
        </w:rPr>
        <w:t xml:space="preserve"> </w:t>
      </w:r>
      <w:r w:rsidR="0081370D">
        <w:rPr>
          <w:rFonts w:ascii="Arial" w:hAnsi="Arial" w:cs="Arial"/>
          <w:sz w:val="24"/>
          <w:szCs w:val="24"/>
        </w:rPr>
        <w:t>t</w:t>
      </w:r>
      <w:r>
        <w:rPr>
          <w:rFonts w:ascii="Arial" w:hAnsi="Arial" w:cs="Arial"/>
          <w:sz w:val="24"/>
          <w:szCs w:val="24"/>
        </w:rPr>
        <w:t>CO</w:t>
      </w:r>
      <w:r w:rsidRPr="0081370D">
        <w:rPr>
          <w:rFonts w:ascii="Arial" w:hAnsi="Arial" w:cs="Arial"/>
          <w:sz w:val="24"/>
          <w:szCs w:val="24"/>
          <w:vertAlign w:val="subscript"/>
        </w:rPr>
        <w:t>2</w:t>
      </w:r>
      <w:r>
        <w:rPr>
          <w:rFonts w:ascii="Arial" w:hAnsi="Arial" w:cs="Arial"/>
          <w:sz w:val="24"/>
          <w:szCs w:val="24"/>
        </w:rPr>
        <w:t xml:space="preserve">e for 2021 and </w:t>
      </w:r>
      <w:r w:rsidRPr="00FF0AFA">
        <w:rPr>
          <w:rFonts w:ascii="Arial" w:hAnsi="Arial" w:cs="Arial"/>
          <w:sz w:val="24"/>
          <w:szCs w:val="24"/>
        </w:rPr>
        <w:t>675,731.2</w:t>
      </w:r>
      <w:r>
        <w:rPr>
          <w:rFonts w:ascii="Arial" w:hAnsi="Arial" w:cs="Arial"/>
          <w:sz w:val="24"/>
          <w:szCs w:val="24"/>
        </w:rPr>
        <w:t xml:space="preserve"> </w:t>
      </w:r>
      <w:r w:rsidR="0081370D">
        <w:rPr>
          <w:rFonts w:ascii="Arial" w:hAnsi="Arial" w:cs="Arial"/>
          <w:sz w:val="24"/>
          <w:szCs w:val="24"/>
        </w:rPr>
        <w:t>t</w:t>
      </w:r>
      <w:r>
        <w:rPr>
          <w:rFonts w:ascii="Arial" w:hAnsi="Arial" w:cs="Arial"/>
          <w:sz w:val="24"/>
          <w:szCs w:val="24"/>
        </w:rPr>
        <w:t>CO</w:t>
      </w:r>
      <w:r w:rsidRPr="0081370D">
        <w:rPr>
          <w:rFonts w:ascii="Arial" w:hAnsi="Arial" w:cs="Arial"/>
          <w:sz w:val="24"/>
          <w:szCs w:val="24"/>
          <w:vertAlign w:val="subscript"/>
        </w:rPr>
        <w:t>2</w:t>
      </w:r>
      <w:r>
        <w:rPr>
          <w:rFonts w:ascii="Arial" w:hAnsi="Arial" w:cs="Arial"/>
          <w:sz w:val="24"/>
          <w:szCs w:val="24"/>
        </w:rPr>
        <w:t xml:space="preserve">e for 2020, making scope 3 the area in which the most carbon emissions are released within the </w:t>
      </w:r>
      <w:proofErr w:type="gramStart"/>
      <w:r>
        <w:rPr>
          <w:rFonts w:ascii="Arial" w:hAnsi="Arial" w:cs="Arial"/>
          <w:sz w:val="24"/>
          <w:szCs w:val="24"/>
        </w:rPr>
        <w:t>organization(</w:t>
      </w:r>
      <w:proofErr w:type="gramEnd"/>
      <w:r>
        <w:rPr>
          <w:rFonts w:ascii="Arial" w:hAnsi="Arial" w:cs="Arial"/>
          <w:sz w:val="24"/>
          <w:szCs w:val="24"/>
        </w:rPr>
        <w:t xml:space="preserve">Babcock, 2021). </w:t>
      </w:r>
    </w:p>
    <w:p w14:paraId="18B5CAA0" w14:textId="2E96A794" w:rsidR="00247AFB" w:rsidRDefault="00247AFB" w:rsidP="00247AFB">
      <w:pPr>
        <w:rPr>
          <w:rFonts w:ascii="Arial" w:hAnsi="Arial" w:cs="Arial"/>
          <w:sz w:val="24"/>
          <w:szCs w:val="24"/>
        </w:rPr>
      </w:pPr>
      <w:r>
        <w:rPr>
          <w:rFonts w:ascii="Arial" w:hAnsi="Arial" w:cs="Arial"/>
          <w:sz w:val="24"/>
          <w:szCs w:val="24"/>
        </w:rPr>
        <w:t xml:space="preserve">The carbon reduction plan also indicates that operations within scope 1 and 2 emitted a total of 213,380.4 </w:t>
      </w:r>
      <w:r w:rsidR="0081370D">
        <w:rPr>
          <w:rFonts w:ascii="Arial" w:hAnsi="Arial" w:cs="Arial"/>
          <w:sz w:val="24"/>
          <w:szCs w:val="24"/>
        </w:rPr>
        <w:t>t</w:t>
      </w:r>
      <w:r>
        <w:rPr>
          <w:rFonts w:ascii="Arial" w:hAnsi="Arial" w:cs="Arial"/>
          <w:sz w:val="24"/>
          <w:szCs w:val="24"/>
        </w:rPr>
        <w:t>CO</w:t>
      </w:r>
      <w:r w:rsidRPr="0081370D">
        <w:rPr>
          <w:rFonts w:ascii="Arial" w:hAnsi="Arial" w:cs="Arial"/>
          <w:sz w:val="24"/>
          <w:szCs w:val="24"/>
          <w:vertAlign w:val="subscript"/>
        </w:rPr>
        <w:t>2</w:t>
      </w:r>
      <w:r>
        <w:rPr>
          <w:rFonts w:ascii="Arial" w:hAnsi="Arial" w:cs="Arial"/>
          <w:sz w:val="24"/>
          <w:szCs w:val="24"/>
        </w:rPr>
        <w:t xml:space="preserve">e in 2021 and 232940.4 in 2020, figures published in the document indicate that Babcock is </w:t>
      </w:r>
      <w:proofErr w:type="spellStart"/>
      <w:r>
        <w:rPr>
          <w:rFonts w:ascii="Arial" w:hAnsi="Arial" w:cs="Arial"/>
          <w:sz w:val="24"/>
          <w:szCs w:val="24"/>
        </w:rPr>
        <w:t>en</w:t>
      </w:r>
      <w:proofErr w:type="spellEnd"/>
      <w:r>
        <w:rPr>
          <w:rFonts w:ascii="Arial" w:hAnsi="Arial" w:cs="Arial"/>
          <w:sz w:val="24"/>
          <w:szCs w:val="24"/>
        </w:rPr>
        <w:t xml:space="preserve">-route to meeting </w:t>
      </w:r>
      <w:proofErr w:type="spellStart"/>
      <w:proofErr w:type="gramStart"/>
      <w:r>
        <w:rPr>
          <w:rFonts w:ascii="Arial" w:hAnsi="Arial" w:cs="Arial"/>
          <w:sz w:val="24"/>
          <w:szCs w:val="24"/>
        </w:rPr>
        <w:t>it’s</w:t>
      </w:r>
      <w:proofErr w:type="spellEnd"/>
      <w:proofErr w:type="gramEnd"/>
      <w:r>
        <w:rPr>
          <w:rFonts w:ascii="Arial" w:hAnsi="Arial" w:cs="Arial"/>
          <w:sz w:val="24"/>
          <w:szCs w:val="24"/>
        </w:rPr>
        <w:t xml:space="preserve"> net zero emission goal for scopes 1 and 2 earlier than the targeted date of 2040</w:t>
      </w:r>
      <w:r>
        <w:rPr>
          <w:rStyle w:val="EndnoteReference"/>
          <w:rFonts w:ascii="Arial" w:hAnsi="Arial" w:cs="Arial"/>
          <w:sz w:val="24"/>
          <w:szCs w:val="24"/>
        </w:rPr>
        <w:endnoteReference w:id="2"/>
      </w:r>
      <w:r>
        <w:rPr>
          <w:rFonts w:ascii="Arial" w:hAnsi="Arial" w:cs="Arial"/>
          <w:sz w:val="24"/>
          <w:szCs w:val="24"/>
        </w:rPr>
        <w:t>, the same can be said for scope 3 emissions and it’s 2050 net zero target</w:t>
      </w:r>
      <w:r>
        <w:rPr>
          <w:rStyle w:val="EndnoteReference"/>
          <w:rFonts w:ascii="Arial" w:hAnsi="Arial" w:cs="Arial"/>
          <w:sz w:val="24"/>
          <w:szCs w:val="24"/>
        </w:rPr>
        <w:endnoteReference w:id="3"/>
      </w:r>
      <w:r>
        <w:rPr>
          <w:rFonts w:ascii="Arial" w:hAnsi="Arial" w:cs="Arial"/>
          <w:sz w:val="24"/>
          <w:szCs w:val="24"/>
        </w:rPr>
        <w:t xml:space="preserve">. Taking into consideration </w:t>
      </w:r>
      <w:proofErr w:type="spellStart"/>
      <w:r>
        <w:rPr>
          <w:rFonts w:ascii="Arial" w:hAnsi="Arial" w:cs="Arial"/>
          <w:sz w:val="24"/>
          <w:szCs w:val="24"/>
        </w:rPr>
        <w:t>dunphy’s</w:t>
      </w:r>
      <w:proofErr w:type="spellEnd"/>
      <w:r>
        <w:rPr>
          <w:rFonts w:ascii="Arial" w:hAnsi="Arial" w:cs="Arial"/>
          <w:sz w:val="24"/>
          <w:szCs w:val="24"/>
        </w:rPr>
        <w:t xml:space="preserve"> levels of engagement(</w:t>
      </w:r>
      <w:proofErr w:type="spellStart"/>
      <w:r>
        <w:rPr>
          <w:rFonts w:ascii="Arial" w:hAnsi="Arial" w:cs="Arial"/>
          <w:sz w:val="24"/>
          <w:szCs w:val="24"/>
        </w:rPr>
        <w:t>dunphy</w:t>
      </w:r>
      <w:proofErr w:type="spellEnd"/>
      <w:r>
        <w:rPr>
          <w:rFonts w:ascii="Arial" w:hAnsi="Arial" w:cs="Arial"/>
          <w:sz w:val="24"/>
          <w:szCs w:val="24"/>
        </w:rPr>
        <w:t xml:space="preserve"> </w:t>
      </w:r>
      <w:r w:rsidRPr="0090272E">
        <w:rPr>
          <w:rFonts w:ascii="Arial" w:hAnsi="Arial" w:cs="Arial"/>
          <w:sz w:val="24"/>
          <w:szCs w:val="24"/>
        </w:rPr>
        <w:t>et al</w:t>
      </w:r>
      <w:r>
        <w:rPr>
          <w:rFonts w:ascii="Arial" w:hAnsi="Arial" w:cs="Arial"/>
          <w:sz w:val="24"/>
          <w:szCs w:val="24"/>
        </w:rPr>
        <w:t xml:space="preserve">, 2012) and the language used in the report, Babcock’s initiative on employee health and safety through </w:t>
      </w:r>
      <w:proofErr w:type="spellStart"/>
      <w:r>
        <w:rPr>
          <w:rFonts w:ascii="Arial" w:hAnsi="Arial" w:cs="Arial"/>
          <w:sz w:val="24"/>
          <w:szCs w:val="24"/>
        </w:rPr>
        <w:t>it’s</w:t>
      </w:r>
      <w:proofErr w:type="spellEnd"/>
      <w:r w:rsidRPr="00DE6DC4">
        <w:rPr>
          <w:rFonts w:ascii="Arial" w:hAnsi="Arial" w:cs="Arial"/>
          <w:sz w:val="21"/>
          <w:szCs w:val="21"/>
        </w:rPr>
        <w:t xml:space="preserve"> </w:t>
      </w:r>
      <w:r w:rsidRPr="00DE6DC4">
        <w:rPr>
          <w:rFonts w:ascii="Arial" w:hAnsi="Arial" w:cs="Arial"/>
          <w:sz w:val="24"/>
          <w:szCs w:val="24"/>
        </w:rPr>
        <w:t>electronic</w:t>
      </w:r>
      <w:r>
        <w:rPr>
          <w:rFonts w:ascii="Arial" w:hAnsi="Arial" w:cs="Arial"/>
          <w:sz w:val="24"/>
          <w:szCs w:val="24"/>
        </w:rPr>
        <w:t xml:space="preserve"> </w:t>
      </w:r>
      <w:r w:rsidRPr="00DE6DC4">
        <w:rPr>
          <w:rFonts w:ascii="Arial" w:hAnsi="Arial" w:cs="Arial"/>
          <w:sz w:val="24"/>
          <w:szCs w:val="24"/>
        </w:rPr>
        <w:t>global safety information management</w:t>
      </w:r>
      <w:r>
        <w:rPr>
          <w:rFonts w:ascii="Arial" w:hAnsi="Arial" w:cs="Arial"/>
          <w:sz w:val="24"/>
          <w:szCs w:val="24"/>
        </w:rPr>
        <w:t xml:space="preserve"> </w:t>
      </w:r>
      <w:r w:rsidRPr="00DE6DC4">
        <w:rPr>
          <w:rFonts w:ascii="Arial" w:hAnsi="Arial" w:cs="Arial"/>
          <w:sz w:val="24"/>
          <w:szCs w:val="24"/>
        </w:rPr>
        <w:t>system</w:t>
      </w:r>
      <w:r>
        <w:rPr>
          <w:rFonts w:ascii="Arial" w:hAnsi="Arial" w:cs="Arial"/>
          <w:sz w:val="24"/>
          <w:szCs w:val="24"/>
        </w:rPr>
        <w:t xml:space="preserve"> and proactive reporting together with </w:t>
      </w:r>
      <w:proofErr w:type="spellStart"/>
      <w:r>
        <w:rPr>
          <w:rFonts w:ascii="Arial" w:hAnsi="Arial" w:cs="Arial"/>
          <w:sz w:val="24"/>
          <w:szCs w:val="24"/>
        </w:rPr>
        <w:t>it’s</w:t>
      </w:r>
      <w:proofErr w:type="spellEnd"/>
      <w:r>
        <w:rPr>
          <w:rFonts w:ascii="Arial" w:hAnsi="Arial" w:cs="Arial"/>
          <w:sz w:val="24"/>
          <w:szCs w:val="24"/>
        </w:rPr>
        <w:t xml:space="preserve"> willingness to engage with other parties within and outside the defense sector on shared sustainability goals and to comply with emission reporting policies(Babcock, 2022) place it at the level of a stage 4 sustainable corporation(efficiency). However, the organization’s desire to conduct bio-diversity assessments and deliver a 10% bio-diversity increase across it’s estates together with </w:t>
      </w:r>
      <w:proofErr w:type="spellStart"/>
      <w:r>
        <w:rPr>
          <w:rFonts w:ascii="Arial" w:hAnsi="Arial" w:cs="Arial"/>
          <w:sz w:val="24"/>
          <w:szCs w:val="24"/>
        </w:rPr>
        <w:t>it’s</w:t>
      </w:r>
      <w:proofErr w:type="spellEnd"/>
      <w:r>
        <w:rPr>
          <w:rFonts w:ascii="Arial" w:hAnsi="Arial" w:cs="Arial"/>
          <w:sz w:val="24"/>
          <w:szCs w:val="24"/>
        </w:rPr>
        <w:t xml:space="preserve"> plans to</w:t>
      </w:r>
      <w:r w:rsidRPr="00A641AC">
        <w:rPr>
          <w:rFonts w:ascii="Arial" w:hAnsi="Arial" w:cs="Arial"/>
          <w:sz w:val="24"/>
          <w:szCs w:val="24"/>
        </w:rPr>
        <w:t xml:space="preserve"> identify water</w:t>
      </w:r>
      <w:r>
        <w:rPr>
          <w:rFonts w:ascii="Arial" w:hAnsi="Arial" w:cs="Arial"/>
          <w:sz w:val="24"/>
          <w:szCs w:val="24"/>
        </w:rPr>
        <w:t xml:space="preserve"> </w:t>
      </w:r>
      <w:r w:rsidRPr="00A641AC">
        <w:rPr>
          <w:rFonts w:ascii="Arial" w:hAnsi="Arial" w:cs="Arial"/>
          <w:sz w:val="24"/>
          <w:szCs w:val="24"/>
        </w:rPr>
        <w:t>reduction opportunities and to</w:t>
      </w:r>
      <w:r>
        <w:rPr>
          <w:rFonts w:ascii="Arial" w:hAnsi="Arial" w:cs="Arial"/>
          <w:sz w:val="24"/>
          <w:szCs w:val="24"/>
        </w:rPr>
        <w:t xml:space="preserve"> </w:t>
      </w:r>
      <w:r w:rsidRPr="00A641AC">
        <w:rPr>
          <w:rFonts w:ascii="Arial" w:hAnsi="Arial" w:cs="Arial"/>
          <w:sz w:val="24"/>
          <w:szCs w:val="24"/>
        </w:rPr>
        <w:t>incorporate water reduction technologies</w:t>
      </w:r>
      <w:r>
        <w:rPr>
          <w:rFonts w:ascii="Arial" w:hAnsi="Arial" w:cs="Arial"/>
          <w:sz w:val="24"/>
          <w:szCs w:val="24"/>
        </w:rPr>
        <w:t xml:space="preserve"> </w:t>
      </w:r>
      <w:r w:rsidRPr="00A641AC">
        <w:rPr>
          <w:rFonts w:ascii="Arial" w:hAnsi="Arial" w:cs="Arial"/>
          <w:sz w:val="24"/>
          <w:szCs w:val="24"/>
        </w:rPr>
        <w:t>such as rainwater harvesting, leak</w:t>
      </w:r>
      <w:r>
        <w:rPr>
          <w:rFonts w:ascii="Arial" w:hAnsi="Arial" w:cs="Arial"/>
          <w:sz w:val="24"/>
          <w:szCs w:val="24"/>
        </w:rPr>
        <w:t xml:space="preserve"> </w:t>
      </w:r>
      <w:r w:rsidRPr="00A641AC">
        <w:rPr>
          <w:rFonts w:ascii="Arial" w:hAnsi="Arial" w:cs="Arial"/>
          <w:sz w:val="24"/>
          <w:szCs w:val="24"/>
        </w:rPr>
        <w:t xml:space="preserve">detection and flow </w:t>
      </w:r>
      <w:proofErr w:type="gramStart"/>
      <w:r w:rsidRPr="00A641AC">
        <w:rPr>
          <w:rFonts w:ascii="Arial" w:hAnsi="Arial" w:cs="Arial"/>
          <w:sz w:val="24"/>
          <w:szCs w:val="24"/>
        </w:rPr>
        <w:t>restriction</w:t>
      </w:r>
      <w:r>
        <w:rPr>
          <w:rFonts w:ascii="Arial" w:hAnsi="Arial" w:cs="Arial"/>
          <w:sz w:val="24"/>
          <w:szCs w:val="24"/>
        </w:rPr>
        <w:t>(</w:t>
      </w:r>
      <w:proofErr w:type="gramEnd"/>
      <w:r>
        <w:rPr>
          <w:rFonts w:ascii="Arial" w:hAnsi="Arial" w:cs="Arial"/>
          <w:sz w:val="24"/>
          <w:szCs w:val="24"/>
        </w:rPr>
        <w:t xml:space="preserve">Babcock, 2022) indicate that the organization aims to be one of strategic proactivity. </w:t>
      </w:r>
    </w:p>
    <w:p w14:paraId="112B26D5" w14:textId="77777777" w:rsidR="00D25A14" w:rsidRDefault="00D25A14" w:rsidP="00D25A14">
      <w:pPr>
        <w:rPr>
          <w:rFonts w:ascii="Arial" w:hAnsi="Arial" w:cs="Arial"/>
          <w:sz w:val="24"/>
          <w:szCs w:val="24"/>
        </w:rPr>
      </w:pPr>
      <w:r>
        <w:rPr>
          <w:rFonts w:ascii="Arial" w:hAnsi="Arial" w:cs="Arial"/>
          <w:sz w:val="24"/>
          <w:szCs w:val="24"/>
        </w:rPr>
        <w:t>All relevant data gathered from the organization’s publications indicate that they are well on their way to meeting their emission targets however data collection regarding downstream scope 3 emissions are still a big stand-out for the organization, making estimates for scope 3 emissions unstable, the strategies presented for scope 1 and scope 2 will have their weakness(as anticipated in the SWOT analysis) but the organization</w:t>
      </w:r>
      <w:r w:rsidR="00644493">
        <w:rPr>
          <w:rFonts w:ascii="Arial" w:hAnsi="Arial" w:cs="Arial"/>
          <w:sz w:val="24"/>
          <w:szCs w:val="24"/>
        </w:rPr>
        <w:t xml:space="preserve"> has indicated that they have plans to improve</w:t>
      </w:r>
      <w:r w:rsidR="00467F66">
        <w:rPr>
          <w:rFonts w:ascii="Arial" w:hAnsi="Arial" w:cs="Arial"/>
          <w:sz w:val="24"/>
          <w:szCs w:val="24"/>
        </w:rPr>
        <w:t xml:space="preserve"> especially</w:t>
      </w:r>
      <w:r w:rsidR="00644493">
        <w:rPr>
          <w:rFonts w:ascii="Arial" w:hAnsi="Arial" w:cs="Arial"/>
          <w:sz w:val="24"/>
          <w:szCs w:val="24"/>
        </w:rPr>
        <w:t xml:space="preserve"> in key areas such as ESG training</w:t>
      </w:r>
      <w:r>
        <w:rPr>
          <w:rFonts w:ascii="Arial" w:hAnsi="Arial" w:cs="Arial"/>
          <w:sz w:val="24"/>
          <w:szCs w:val="24"/>
        </w:rPr>
        <w:t>, however, more can be done to move the organization from a position of being reactive to pressing sustainability issues to one of strategic proactivity.</w:t>
      </w:r>
    </w:p>
    <w:p w14:paraId="3F7D7087" w14:textId="77777777" w:rsidR="00D93A9C" w:rsidRDefault="00D93A9C" w:rsidP="009A08F7">
      <w:pPr>
        <w:pStyle w:val="Heading1"/>
      </w:pPr>
      <w:r>
        <w:t>Recommendation</w:t>
      </w:r>
      <w:bookmarkEnd w:id="4"/>
    </w:p>
    <w:p w14:paraId="4A52B8E5" w14:textId="77777777" w:rsidR="00D25A14" w:rsidRDefault="00D25A14" w:rsidP="00D25A14">
      <w:pPr>
        <w:rPr>
          <w:rFonts w:ascii="Arial" w:hAnsi="Arial" w:cs="Arial"/>
          <w:sz w:val="24"/>
          <w:szCs w:val="24"/>
        </w:rPr>
      </w:pPr>
      <w:bookmarkStart w:id="5" w:name="_Hlk121429073"/>
      <w:bookmarkStart w:id="6" w:name="_Toc121215140"/>
      <w:r>
        <w:rPr>
          <w:rFonts w:ascii="Arial" w:hAnsi="Arial" w:cs="Arial"/>
          <w:sz w:val="24"/>
          <w:szCs w:val="24"/>
        </w:rPr>
        <w:t xml:space="preserve">This section is divided into two subsections with the </w:t>
      </w:r>
      <w:proofErr w:type="gramStart"/>
      <w:r>
        <w:rPr>
          <w:rFonts w:ascii="Arial" w:hAnsi="Arial" w:cs="Arial"/>
          <w:sz w:val="24"/>
          <w:szCs w:val="24"/>
        </w:rPr>
        <w:t>short term</w:t>
      </w:r>
      <w:proofErr w:type="gramEnd"/>
      <w:r>
        <w:rPr>
          <w:rFonts w:ascii="Arial" w:hAnsi="Arial" w:cs="Arial"/>
          <w:sz w:val="24"/>
          <w:szCs w:val="24"/>
        </w:rPr>
        <w:t xml:space="preserve"> suggestion containing an addition to the current strategy for carbon reduction in scopes one and two and the medium to long term containing suggestions that’ll cover the general sustainability plan but is oriented towards getting a handle on scope 3 emissions.</w:t>
      </w:r>
      <w:bookmarkEnd w:id="5"/>
    </w:p>
    <w:p w14:paraId="628BF877" w14:textId="77777777" w:rsidR="004971AA" w:rsidRDefault="00F110CA" w:rsidP="009A08F7">
      <w:pPr>
        <w:pStyle w:val="Heading1"/>
      </w:pPr>
      <w:r w:rsidRPr="005B7A3D">
        <w:lastRenderedPageBreak/>
        <w:t>Short Ter</w:t>
      </w:r>
      <w:r w:rsidR="00D65025">
        <w:t>m</w:t>
      </w:r>
      <w:bookmarkEnd w:id="6"/>
    </w:p>
    <w:p w14:paraId="2EC7CDD0" w14:textId="77777777" w:rsidR="00247AFB" w:rsidRPr="00D65025" w:rsidRDefault="00247AFB" w:rsidP="00247AFB">
      <w:pPr>
        <w:rPr>
          <w:rFonts w:ascii="Arial" w:hAnsi="Arial" w:cs="Arial"/>
          <w:sz w:val="24"/>
          <w:szCs w:val="24"/>
        </w:rPr>
      </w:pPr>
      <w:r>
        <w:rPr>
          <w:rFonts w:ascii="Arial" w:hAnsi="Arial" w:cs="Arial"/>
          <w:sz w:val="24"/>
          <w:szCs w:val="24"/>
        </w:rPr>
        <w:t xml:space="preserve">Incorporating carbon reduction offsets into the sustainability strategy merits the organization with credits or “rights” </w:t>
      </w:r>
      <w:r w:rsidRPr="00B72336">
        <w:rPr>
          <w:rFonts w:ascii="Arial" w:hAnsi="Arial" w:cs="Arial"/>
          <w:sz w:val="24"/>
          <w:szCs w:val="24"/>
        </w:rPr>
        <w:t>linked to activities that lower the amount of carbon dioxide (CO</w:t>
      </w:r>
      <w:r w:rsidRPr="00B72336">
        <w:rPr>
          <w:rFonts w:ascii="Arial" w:hAnsi="Arial" w:cs="Arial"/>
          <w:sz w:val="24"/>
          <w:szCs w:val="24"/>
          <w:vertAlign w:val="subscript"/>
        </w:rPr>
        <w:t>2</w:t>
      </w:r>
      <w:r w:rsidRPr="00B72336">
        <w:rPr>
          <w:rFonts w:ascii="Arial" w:hAnsi="Arial" w:cs="Arial"/>
          <w:sz w:val="24"/>
          <w:szCs w:val="24"/>
        </w:rPr>
        <w:t xml:space="preserve">) in the </w:t>
      </w:r>
      <w:proofErr w:type="gramStart"/>
      <w:r w:rsidRPr="00B72336">
        <w:rPr>
          <w:rFonts w:ascii="Arial" w:hAnsi="Arial" w:cs="Arial"/>
          <w:sz w:val="24"/>
          <w:szCs w:val="24"/>
        </w:rPr>
        <w:t>atmosphere</w:t>
      </w:r>
      <w:r>
        <w:rPr>
          <w:rFonts w:ascii="Arial" w:hAnsi="Arial" w:cs="Arial"/>
          <w:sz w:val="24"/>
          <w:szCs w:val="24"/>
        </w:rPr>
        <w:t>(</w:t>
      </w:r>
      <w:proofErr w:type="gramEnd"/>
      <w:r>
        <w:rPr>
          <w:rFonts w:ascii="Arial" w:hAnsi="Arial" w:cs="Arial"/>
          <w:sz w:val="24"/>
          <w:szCs w:val="24"/>
        </w:rPr>
        <w:t xml:space="preserve">MIT, 2020). These credits will serve as compensation for emissions generated within the organization’s operations, however, offset schemes that the organization decides to engage with must always have a high quality verifier behind them such as Gold standard, Verra and the Voluntary Carbon Standard(VCS) in order to prevent any greenwashing that’ll make the </w:t>
      </w:r>
      <w:r w:rsidRPr="006B5877">
        <w:rPr>
          <w:rFonts w:ascii="Arial" w:hAnsi="Arial" w:cs="Arial"/>
          <w:sz w:val="24"/>
          <w:szCs w:val="24"/>
        </w:rPr>
        <w:t xml:space="preserve">sustainability effort look more impactful than </w:t>
      </w:r>
      <w:r>
        <w:rPr>
          <w:rFonts w:ascii="Arial" w:hAnsi="Arial" w:cs="Arial"/>
          <w:sz w:val="24"/>
          <w:szCs w:val="24"/>
        </w:rPr>
        <w:t xml:space="preserve">it </w:t>
      </w:r>
      <w:r w:rsidRPr="006B5877">
        <w:rPr>
          <w:rFonts w:ascii="Arial" w:hAnsi="Arial" w:cs="Arial"/>
          <w:sz w:val="24"/>
          <w:szCs w:val="24"/>
        </w:rPr>
        <w:t xml:space="preserve">really </w:t>
      </w:r>
      <w:r>
        <w:rPr>
          <w:rFonts w:ascii="Arial" w:hAnsi="Arial" w:cs="Arial"/>
          <w:sz w:val="24"/>
          <w:szCs w:val="24"/>
        </w:rPr>
        <w:t xml:space="preserve">is, it is important that the offset schemes come only as secondary activities to strategic processes aimed at reducing emissions within the organization’s operations. Particularly in </w:t>
      </w:r>
      <w:proofErr w:type="spellStart"/>
      <w:r>
        <w:rPr>
          <w:rFonts w:ascii="Arial" w:hAnsi="Arial" w:cs="Arial"/>
          <w:sz w:val="24"/>
          <w:szCs w:val="24"/>
        </w:rPr>
        <w:t>it's</w:t>
      </w:r>
      <w:proofErr w:type="spellEnd"/>
      <w:r>
        <w:rPr>
          <w:rFonts w:ascii="Arial" w:hAnsi="Arial" w:cs="Arial"/>
          <w:sz w:val="24"/>
          <w:szCs w:val="24"/>
        </w:rPr>
        <w:t xml:space="preserve"> operations in developing countries, Babcock can partake in initiatives using sustainable means to provide electricity and clean water to low income communities, however, the organization should eventually transition to initiatives that directly remove carbon from the atmosphere in order to maintain credibility in </w:t>
      </w:r>
      <w:proofErr w:type="spellStart"/>
      <w:r>
        <w:rPr>
          <w:rFonts w:ascii="Arial" w:hAnsi="Arial" w:cs="Arial"/>
          <w:sz w:val="24"/>
          <w:szCs w:val="24"/>
        </w:rPr>
        <w:t>it’s</w:t>
      </w:r>
      <w:proofErr w:type="spellEnd"/>
      <w:r>
        <w:rPr>
          <w:rFonts w:ascii="Arial" w:hAnsi="Arial" w:cs="Arial"/>
          <w:sz w:val="24"/>
          <w:szCs w:val="24"/>
        </w:rPr>
        <w:t xml:space="preserve"> net zero aligned </w:t>
      </w:r>
      <w:proofErr w:type="gramStart"/>
      <w:r>
        <w:rPr>
          <w:rFonts w:ascii="Arial" w:hAnsi="Arial" w:cs="Arial"/>
          <w:sz w:val="24"/>
          <w:szCs w:val="24"/>
        </w:rPr>
        <w:t>offsetting(</w:t>
      </w:r>
      <w:proofErr w:type="gramEnd"/>
      <w:r>
        <w:rPr>
          <w:rFonts w:ascii="Arial" w:hAnsi="Arial" w:cs="Arial"/>
          <w:sz w:val="24"/>
          <w:szCs w:val="24"/>
        </w:rPr>
        <w:t xml:space="preserve">Oxford Offsetting Principles, 2020). In this regard, the organization can look into carbon capture technology as it becomes more efficient and less costly, during </w:t>
      </w:r>
      <w:proofErr w:type="spellStart"/>
      <w:r>
        <w:rPr>
          <w:rFonts w:ascii="Arial" w:hAnsi="Arial" w:cs="Arial"/>
          <w:sz w:val="24"/>
          <w:szCs w:val="24"/>
        </w:rPr>
        <w:t>it’s</w:t>
      </w:r>
      <w:proofErr w:type="spellEnd"/>
      <w:r>
        <w:rPr>
          <w:rFonts w:ascii="Arial" w:hAnsi="Arial" w:cs="Arial"/>
          <w:sz w:val="24"/>
          <w:szCs w:val="24"/>
        </w:rPr>
        <w:t xml:space="preserve"> estate audit the organization can look into opportunities to install such technologies on </w:t>
      </w:r>
      <w:proofErr w:type="spellStart"/>
      <w:r>
        <w:rPr>
          <w:rFonts w:ascii="Arial" w:hAnsi="Arial" w:cs="Arial"/>
          <w:sz w:val="24"/>
          <w:szCs w:val="24"/>
        </w:rPr>
        <w:t>it’s</w:t>
      </w:r>
      <w:proofErr w:type="spellEnd"/>
      <w:r>
        <w:rPr>
          <w:rFonts w:ascii="Arial" w:hAnsi="Arial" w:cs="Arial"/>
          <w:sz w:val="24"/>
          <w:szCs w:val="24"/>
        </w:rPr>
        <w:t xml:space="preserve"> bases, this way the organization will pay upfront costs that will lead to future cost reduction, moreover, since scope 3 emissions contain processes that are difficult to quantify and decarbonize, offsetting activities provide a way for the organization reduce emissions while researching decarbonization efforts for mission critical processes in the downstream.</w:t>
      </w:r>
    </w:p>
    <w:p w14:paraId="422F8392" w14:textId="77777777" w:rsidR="004971AA" w:rsidRDefault="004971AA" w:rsidP="00D93A9C">
      <w:pPr>
        <w:rPr>
          <w:rFonts w:ascii="Arial" w:hAnsi="Arial" w:cs="Arial"/>
          <w:sz w:val="24"/>
          <w:szCs w:val="24"/>
        </w:rPr>
      </w:pPr>
    </w:p>
    <w:p w14:paraId="33D75E2B" w14:textId="77777777" w:rsidR="00F110CA" w:rsidRDefault="004971AA" w:rsidP="009A08F7">
      <w:pPr>
        <w:pStyle w:val="Heading1"/>
      </w:pPr>
      <w:bookmarkStart w:id="7" w:name="_Toc121215141"/>
      <w:r>
        <w:t xml:space="preserve">Medium </w:t>
      </w:r>
      <w:r w:rsidR="00584718">
        <w:t>To Long Term</w:t>
      </w:r>
      <w:bookmarkEnd w:id="7"/>
    </w:p>
    <w:p w14:paraId="68446133" w14:textId="77777777" w:rsidR="00247AFB" w:rsidRDefault="00247AFB" w:rsidP="00247AFB">
      <w:pPr>
        <w:rPr>
          <w:rFonts w:ascii="Arial" w:hAnsi="Arial" w:cs="Arial"/>
          <w:sz w:val="24"/>
          <w:szCs w:val="24"/>
        </w:rPr>
      </w:pPr>
      <w:r>
        <w:rPr>
          <w:rFonts w:ascii="Arial" w:hAnsi="Arial" w:cs="Arial"/>
          <w:sz w:val="24"/>
          <w:szCs w:val="24"/>
        </w:rPr>
        <w:t xml:space="preserve">Further investigation into the reports of other top defense contractors in the UK who have </w:t>
      </w:r>
      <w:r w:rsidRPr="006C4564">
        <w:rPr>
          <w:rFonts w:ascii="Arial" w:hAnsi="Arial" w:cs="Arial"/>
          <w:sz w:val="24"/>
          <w:szCs w:val="24"/>
        </w:rPr>
        <w:t>aligned to set science-based targets to meet the Paris Agreement goals for containing global warming</w:t>
      </w:r>
      <w:r>
        <w:rPr>
          <w:rFonts w:ascii="Arial" w:hAnsi="Arial" w:cs="Arial"/>
          <w:sz w:val="24"/>
          <w:szCs w:val="24"/>
        </w:rPr>
        <w:t xml:space="preserve"> has shown that Babcock in comparison to </w:t>
      </w:r>
      <w:proofErr w:type="spellStart"/>
      <w:r>
        <w:rPr>
          <w:rFonts w:ascii="Arial" w:hAnsi="Arial" w:cs="Arial"/>
          <w:sz w:val="24"/>
          <w:szCs w:val="24"/>
        </w:rPr>
        <w:t>it’s</w:t>
      </w:r>
      <w:proofErr w:type="spellEnd"/>
      <w:r>
        <w:rPr>
          <w:rFonts w:ascii="Arial" w:hAnsi="Arial" w:cs="Arial"/>
          <w:sz w:val="24"/>
          <w:szCs w:val="24"/>
        </w:rPr>
        <w:t xml:space="preserve"> competitors invests substantially less into research and development despite having higher net revenue, in 2020 and 2021 </w:t>
      </w:r>
      <w:proofErr w:type="spellStart"/>
      <w:r>
        <w:rPr>
          <w:rFonts w:ascii="Arial" w:hAnsi="Arial" w:cs="Arial"/>
          <w:sz w:val="24"/>
          <w:szCs w:val="24"/>
        </w:rPr>
        <w:t>Meggit</w:t>
      </w:r>
      <w:proofErr w:type="spellEnd"/>
      <w:r>
        <w:rPr>
          <w:rFonts w:ascii="Arial" w:hAnsi="Arial" w:cs="Arial"/>
          <w:sz w:val="24"/>
          <w:szCs w:val="24"/>
        </w:rPr>
        <w:t xml:space="preserve"> saw a revenue accrual of £1.6 and £1.4 billion respectively(</w:t>
      </w:r>
      <w:proofErr w:type="spellStart"/>
      <w:r>
        <w:rPr>
          <w:rFonts w:ascii="Arial" w:hAnsi="Arial" w:cs="Arial"/>
          <w:sz w:val="24"/>
          <w:szCs w:val="24"/>
        </w:rPr>
        <w:t>Meggit</w:t>
      </w:r>
      <w:proofErr w:type="spellEnd"/>
      <w:r>
        <w:rPr>
          <w:rFonts w:ascii="Arial" w:hAnsi="Arial" w:cs="Arial"/>
          <w:sz w:val="24"/>
          <w:szCs w:val="24"/>
        </w:rPr>
        <w:t xml:space="preserve"> Annual Report, 2021) with £70 million going into R&amp;D in 2021 and £97 million in 2020 while </w:t>
      </w:r>
      <w:proofErr w:type="spellStart"/>
      <w:r>
        <w:rPr>
          <w:rFonts w:ascii="Arial" w:hAnsi="Arial" w:cs="Arial"/>
          <w:sz w:val="24"/>
          <w:szCs w:val="24"/>
        </w:rPr>
        <w:t>Qinetiq</w:t>
      </w:r>
      <w:proofErr w:type="spellEnd"/>
      <w:r>
        <w:rPr>
          <w:rFonts w:ascii="Arial" w:hAnsi="Arial" w:cs="Arial"/>
          <w:sz w:val="24"/>
          <w:szCs w:val="24"/>
        </w:rPr>
        <w:t xml:space="preserve"> had a revenue income of £1.3 and £1.2 billion in 2022 and 2021 respectively, with £302 million going into R&amp;D in 2022. On the other hand, Babcock saw £4.1 and £3.9 billion in revenue for 2022 and 2021 respectively but only £2.6 million went into R&amp;D in 2022 and even less so in 2021(Babcock Annual Reports, 2022). A </w:t>
      </w:r>
      <w:r w:rsidRPr="00A21038">
        <w:rPr>
          <w:rFonts w:ascii="Arial" w:hAnsi="Arial" w:cs="Arial"/>
          <w:b/>
          <w:bCs/>
          <w:sz w:val="24"/>
          <w:szCs w:val="24"/>
        </w:rPr>
        <w:t>higher portion of net revenue should be allocated towards R&amp;D purposes</w:t>
      </w:r>
      <w:r>
        <w:rPr>
          <w:rFonts w:ascii="Arial" w:hAnsi="Arial" w:cs="Arial"/>
          <w:sz w:val="24"/>
          <w:szCs w:val="24"/>
        </w:rPr>
        <w:t xml:space="preserve"> that’d allow the organization develop machines, processes or systems that can be energy efficient and incredibly effective at the same time across </w:t>
      </w:r>
      <w:proofErr w:type="spellStart"/>
      <w:proofErr w:type="gramStart"/>
      <w:r>
        <w:rPr>
          <w:rFonts w:ascii="Arial" w:hAnsi="Arial" w:cs="Arial"/>
          <w:sz w:val="24"/>
          <w:szCs w:val="24"/>
        </w:rPr>
        <w:t>it’s</w:t>
      </w:r>
      <w:proofErr w:type="spellEnd"/>
      <w:proofErr w:type="gramEnd"/>
      <w:r>
        <w:rPr>
          <w:rFonts w:ascii="Arial" w:hAnsi="Arial" w:cs="Arial"/>
          <w:sz w:val="24"/>
          <w:szCs w:val="24"/>
        </w:rPr>
        <w:t xml:space="preserve"> land, marine and aviation operations.</w:t>
      </w:r>
    </w:p>
    <w:p w14:paraId="2251C99B" w14:textId="77777777" w:rsidR="00247AFB" w:rsidRDefault="00247AFB" w:rsidP="00247AFB">
      <w:pPr>
        <w:rPr>
          <w:rFonts w:ascii="Arial" w:hAnsi="Arial" w:cs="Arial"/>
          <w:sz w:val="25"/>
          <w:szCs w:val="25"/>
        </w:rPr>
      </w:pPr>
      <w:r>
        <w:rPr>
          <w:rFonts w:ascii="Arial" w:hAnsi="Arial" w:cs="Arial"/>
          <w:sz w:val="24"/>
          <w:szCs w:val="24"/>
        </w:rPr>
        <w:t xml:space="preserve">Particularly, the organization can look into </w:t>
      </w:r>
      <w:r w:rsidRPr="00A21038">
        <w:rPr>
          <w:rFonts w:ascii="Arial" w:hAnsi="Arial" w:cs="Arial"/>
          <w:b/>
          <w:bCs/>
          <w:sz w:val="24"/>
          <w:szCs w:val="24"/>
        </w:rPr>
        <w:t>automation</w:t>
      </w:r>
      <w:r>
        <w:rPr>
          <w:rFonts w:ascii="Arial" w:hAnsi="Arial" w:cs="Arial"/>
          <w:b/>
          <w:bCs/>
          <w:sz w:val="24"/>
          <w:szCs w:val="24"/>
        </w:rPr>
        <w:t xml:space="preserve">, </w:t>
      </w:r>
      <w:r>
        <w:rPr>
          <w:rFonts w:ascii="Arial" w:hAnsi="Arial" w:cs="Arial"/>
          <w:sz w:val="24"/>
          <w:szCs w:val="24"/>
        </w:rPr>
        <w:t xml:space="preserve">both of </w:t>
      </w:r>
      <w:proofErr w:type="spellStart"/>
      <w:r>
        <w:rPr>
          <w:rFonts w:ascii="Arial" w:hAnsi="Arial" w:cs="Arial"/>
          <w:sz w:val="24"/>
          <w:szCs w:val="24"/>
        </w:rPr>
        <w:t>it’s</w:t>
      </w:r>
      <w:proofErr w:type="spellEnd"/>
      <w:r>
        <w:rPr>
          <w:rFonts w:ascii="Arial" w:hAnsi="Arial" w:cs="Arial"/>
          <w:sz w:val="24"/>
          <w:szCs w:val="24"/>
        </w:rPr>
        <w:t xml:space="preserve"> manufacturing processes and of </w:t>
      </w:r>
      <w:proofErr w:type="spellStart"/>
      <w:proofErr w:type="gramStart"/>
      <w:r>
        <w:rPr>
          <w:rFonts w:ascii="Arial" w:hAnsi="Arial" w:cs="Arial"/>
          <w:sz w:val="24"/>
          <w:szCs w:val="24"/>
        </w:rPr>
        <w:t>it’s</w:t>
      </w:r>
      <w:proofErr w:type="spellEnd"/>
      <w:proofErr w:type="gramEnd"/>
      <w:r>
        <w:rPr>
          <w:rFonts w:ascii="Arial" w:hAnsi="Arial" w:cs="Arial"/>
          <w:sz w:val="24"/>
          <w:szCs w:val="24"/>
        </w:rPr>
        <w:t xml:space="preserve"> manned vehicles. Incorporating the Industry 4.0 concept of a Cyber-Physical-System where sensors, machines, workpieces and IT systems are connected across the value chain beyond a single enterprise, nodes within the system will be able to communicate with one another using Internet based protocols allowing them to perform data analysis</w:t>
      </w:r>
      <w:r w:rsidRPr="0061331E">
        <w:rPr>
          <w:rFonts w:ascii="Arial" w:hAnsi="Arial" w:cs="Arial"/>
          <w:sz w:val="24"/>
          <w:szCs w:val="24"/>
        </w:rPr>
        <w:t xml:space="preserve"> to predict failure, </w:t>
      </w:r>
      <w:r>
        <w:rPr>
          <w:rFonts w:ascii="Arial" w:hAnsi="Arial" w:cs="Arial"/>
          <w:sz w:val="24"/>
          <w:szCs w:val="24"/>
        </w:rPr>
        <w:t>self-</w:t>
      </w:r>
      <w:r w:rsidRPr="0061331E">
        <w:rPr>
          <w:rFonts w:ascii="Arial" w:hAnsi="Arial" w:cs="Arial"/>
          <w:sz w:val="24"/>
          <w:szCs w:val="24"/>
        </w:rPr>
        <w:t>configure and</w:t>
      </w:r>
      <w:r>
        <w:rPr>
          <w:rFonts w:ascii="Arial" w:hAnsi="Arial" w:cs="Arial"/>
          <w:sz w:val="24"/>
          <w:szCs w:val="24"/>
        </w:rPr>
        <w:t xml:space="preserve"> make adjustments to </w:t>
      </w:r>
      <w:r w:rsidRPr="0061331E">
        <w:rPr>
          <w:rFonts w:ascii="Arial" w:hAnsi="Arial" w:cs="Arial"/>
          <w:sz w:val="24"/>
          <w:szCs w:val="24"/>
        </w:rPr>
        <w:t>adapt to changes</w:t>
      </w:r>
      <w:r>
        <w:rPr>
          <w:rFonts w:ascii="Arial" w:hAnsi="Arial" w:cs="Arial"/>
          <w:sz w:val="24"/>
          <w:szCs w:val="24"/>
        </w:rPr>
        <w:t>, this has been shown increase productivity, efficiency and revenue growth(</w:t>
      </w:r>
      <w:proofErr w:type="spellStart"/>
      <w:r w:rsidRPr="000B62A9">
        <w:rPr>
          <w:rFonts w:ascii="Arial" w:hAnsi="Arial" w:cs="Arial"/>
          <w:sz w:val="24"/>
          <w:szCs w:val="24"/>
        </w:rPr>
        <w:t>Rüßmann</w:t>
      </w:r>
      <w:proofErr w:type="spellEnd"/>
      <w:r>
        <w:rPr>
          <w:rStyle w:val="markedcontent"/>
          <w:rFonts w:ascii="Arial" w:hAnsi="Arial" w:cs="Arial"/>
          <w:sz w:val="25"/>
          <w:szCs w:val="25"/>
        </w:rPr>
        <w:t xml:space="preserve"> et al,2015). Though still in it’s infancy, Industry 4.0 has shown promise in enabling sustainable manufacturing through increasing flexibility, resource efficiency using big data analysis </w:t>
      </w:r>
      <w:r w:rsidRPr="0024099B">
        <w:rPr>
          <w:rFonts w:ascii="Arial" w:hAnsi="Arial" w:cs="Arial"/>
          <w:sz w:val="25"/>
          <w:szCs w:val="25"/>
        </w:rPr>
        <w:t>for predictive maintenance and fast production system reconfiguration</w:t>
      </w:r>
      <w:r>
        <w:rPr>
          <w:rFonts w:ascii="Arial" w:hAnsi="Arial" w:cs="Arial"/>
          <w:sz w:val="25"/>
          <w:szCs w:val="25"/>
        </w:rPr>
        <w:t>, waste reduction and production of renewable energy surpluses that can be used in other operations within organization(</w:t>
      </w:r>
      <w:r w:rsidRPr="0024099B">
        <w:rPr>
          <w:rFonts w:ascii="Arial" w:hAnsi="Arial" w:cs="Arial"/>
          <w:sz w:val="25"/>
          <w:szCs w:val="25"/>
        </w:rPr>
        <w:t xml:space="preserve">Hermann, </w:t>
      </w:r>
      <w:proofErr w:type="spellStart"/>
      <w:r w:rsidRPr="0024099B">
        <w:rPr>
          <w:rFonts w:ascii="Arial" w:hAnsi="Arial" w:cs="Arial"/>
          <w:sz w:val="25"/>
          <w:szCs w:val="25"/>
        </w:rPr>
        <w:t>Pentek</w:t>
      </w:r>
      <w:proofErr w:type="spellEnd"/>
      <w:r w:rsidRPr="0024099B">
        <w:rPr>
          <w:rFonts w:ascii="Arial" w:hAnsi="Arial" w:cs="Arial"/>
          <w:sz w:val="25"/>
          <w:szCs w:val="25"/>
        </w:rPr>
        <w:t xml:space="preserve">, and Otto </w:t>
      </w:r>
      <w:hyperlink r:id="rId9" w:history="1">
        <w:r w:rsidRPr="0024099B">
          <w:rPr>
            <w:rStyle w:val="Hyperlink"/>
            <w:rFonts w:ascii="Arial" w:hAnsi="Arial" w:cs="Arial"/>
            <w:sz w:val="25"/>
            <w:szCs w:val="25"/>
          </w:rPr>
          <w:t>2016</w:t>
        </w:r>
      </w:hyperlink>
      <w:r w:rsidRPr="0024099B">
        <w:rPr>
          <w:rFonts w:ascii="Arial" w:hAnsi="Arial" w:cs="Arial"/>
          <w:sz w:val="25"/>
          <w:szCs w:val="25"/>
        </w:rPr>
        <w:t xml:space="preserve">; Kiel et al. </w:t>
      </w:r>
      <w:hyperlink r:id="rId10" w:history="1">
        <w:r w:rsidRPr="0024099B">
          <w:rPr>
            <w:rStyle w:val="Hyperlink"/>
            <w:rFonts w:ascii="Arial" w:hAnsi="Arial" w:cs="Arial"/>
            <w:sz w:val="25"/>
            <w:szCs w:val="25"/>
          </w:rPr>
          <w:t>2017</w:t>
        </w:r>
      </w:hyperlink>
      <w:r w:rsidRPr="0024099B">
        <w:rPr>
          <w:rFonts w:ascii="Arial" w:hAnsi="Arial" w:cs="Arial"/>
          <w:sz w:val="25"/>
          <w:szCs w:val="25"/>
        </w:rPr>
        <w:t xml:space="preserve">; Waibel et al. </w:t>
      </w:r>
      <w:hyperlink r:id="rId11" w:history="1">
        <w:r w:rsidRPr="0024099B">
          <w:rPr>
            <w:rStyle w:val="Hyperlink"/>
            <w:rFonts w:ascii="Arial" w:hAnsi="Arial" w:cs="Arial"/>
            <w:sz w:val="25"/>
            <w:szCs w:val="25"/>
          </w:rPr>
          <w:t>2017</w:t>
        </w:r>
      </w:hyperlink>
      <w:r>
        <w:rPr>
          <w:rFonts w:ascii="Arial" w:hAnsi="Arial" w:cs="Arial"/>
          <w:sz w:val="25"/>
          <w:szCs w:val="25"/>
        </w:rPr>
        <w:t xml:space="preserve">). Furthermore, research carried out by </w:t>
      </w:r>
      <w:r>
        <w:rPr>
          <w:rFonts w:ascii="Arial" w:hAnsi="Arial" w:cs="Arial"/>
          <w:i/>
          <w:iCs/>
          <w:sz w:val="25"/>
          <w:szCs w:val="25"/>
        </w:rPr>
        <w:t>Afrin et al</w:t>
      </w:r>
      <w:r>
        <w:rPr>
          <w:rFonts w:ascii="Arial" w:hAnsi="Arial" w:cs="Arial"/>
          <w:sz w:val="25"/>
          <w:szCs w:val="25"/>
        </w:rPr>
        <w:t xml:space="preserve"> in 2016 shows that an automated production line that optimizes line cost and carbon footprint is possible. If implemented, the constant communication between nodes along the value chain may allow the organization to make an estimate on </w:t>
      </w:r>
      <w:proofErr w:type="spellStart"/>
      <w:proofErr w:type="gramStart"/>
      <w:r>
        <w:rPr>
          <w:rFonts w:ascii="Arial" w:hAnsi="Arial" w:cs="Arial"/>
          <w:sz w:val="25"/>
          <w:szCs w:val="25"/>
        </w:rPr>
        <w:t>it’s</w:t>
      </w:r>
      <w:proofErr w:type="spellEnd"/>
      <w:proofErr w:type="gramEnd"/>
      <w:r>
        <w:rPr>
          <w:rFonts w:ascii="Arial" w:hAnsi="Arial" w:cs="Arial"/>
          <w:sz w:val="25"/>
          <w:szCs w:val="25"/>
        </w:rPr>
        <w:t xml:space="preserve"> downstream scope 3 emissions with a higher degree of confidence.</w:t>
      </w:r>
    </w:p>
    <w:p w14:paraId="36AFFE40" w14:textId="77777777" w:rsidR="00247AFB" w:rsidRDefault="00247AFB" w:rsidP="00247AFB">
      <w:pPr>
        <w:rPr>
          <w:rFonts w:ascii="Arial" w:hAnsi="Arial" w:cs="Arial"/>
          <w:sz w:val="25"/>
          <w:szCs w:val="25"/>
        </w:rPr>
      </w:pPr>
      <w:r>
        <w:rPr>
          <w:rFonts w:ascii="Arial" w:hAnsi="Arial" w:cs="Arial"/>
          <w:b/>
          <w:bCs/>
          <w:sz w:val="25"/>
          <w:szCs w:val="25"/>
        </w:rPr>
        <w:t>T</w:t>
      </w:r>
      <w:r w:rsidRPr="008E3F29">
        <w:rPr>
          <w:rFonts w:ascii="Arial" w:hAnsi="Arial" w:cs="Arial"/>
          <w:b/>
          <w:bCs/>
          <w:sz w:val="25"/>
          <w:szCs w:val="25"/>
        </w:rPr>
        <w:t>he automation of manned</w:t>
      </w:r>
      <w:r>
        <w:rPr>
          <w:rFonts w:ascii="Arial" w:hAnsi="Arial" w:cs="Arial"/>
          <w:b/>
          <w:bCs/>
          <w:sz w:val="25"/>
          <w:szCs w:val="25"/>
        </w:rPr>
        <w:t xml:space="preserve"> combat</w:t>
      </w:r>
      <w:r w:rsidRPr="008E3F29">
        <w:rPr>
          <w:rFonts w:ascii="Arial" w:hAnsi="Arial" w:cs="Arial"/>
          <w:b/>
          <w:bCs/>
          <w:sz w:val="25"/>
          <w:szCs w:val="25"/>
        </w:rPr>
        <w:t xml:space="preserve"> </w:t>
      </w:r>
      <w:proofErr w:type="gramStart"/>
      <w:r w:rsidRPr="008E3F29">
        <w:rPr>
          <w:rFonts w:ascii="Arial" w:hAnsi="Arial" w:cs="Arial"/>
          <w:b/>
          <w:bCs/>
          <w:sz w:val="25"/>
          <w:szCs w:val="25"/>
        </w:rPr>
        <w:t>vehicles</w:t>
      </w:r>
      <w:r>
        <w:rPr>
          <w:rFonts w:ascii="Arial" w:hAnsi="Arial" w:cs="Arial"/>
          <w:b/>
          <w:bCs/>
          <w:sz w:val="25"/>
          <w:szCs w:val="25"/>
        </w:rPr>
        <w:t>(</w:t>
      </w:r>
      <w:proofErr w:type="gramEnd"/>
      <w:r>
        <w:rPr>
          <w:rFonts w:ascii="Arial" w:hAnsi="Arial" w:cs="Arial"/>
          <w:b/>
          <w:bCs/>
          <w:sz w:val="25"/>
          <w:szCs w:val="25"/>
        </w:rPr>
        <w:t>Air, Land or Marine)</w:t>
      </w:r>
      <w:r>
        <w:rPr>
          <w:rFonts w:ascii="Arial" w:hAnsi="Arial" w:cs="Arial"/>
          <w:sz w:val="25"/>
          <w:szCs w:val="25"/>
        </w:rPr>
        <w:t xml:space="preserve"> also provides an opportunity for optimization where in Artificial Intelligence algorithms can be used to train computer fitted vehicles to make accurate split second decisions that are dependent on type of terrain, homogeneity of the terrain and object within the terrain. The consequence of an automated combat vehicle is that by having motion sensors, cameras, GPS, engine sensors and other such data collection tools, it could provide crucial information to the manufacturer on how the product is being used post production (use time, energy consumption per use) making downstream scope 3 emissions easier to estimate by a large degree, moreover, this would also relieve the emissions burden incurred by having manned vehicles such as driver and/or pilot commute. However, this would require a lot of investment and an intensive research effort to train a machine enough for it to be able to make decisions as flexibly and accurately as humans are capable of in real time combat situations.</w:t>
      </w:r>
    </w:p>
    <w:bookmarkEnd w:id="1"/>
    <w:p w14:paraId="18B9A6E8" w14:textId="77777777" w:rsidR="00204A74" w:rsidRDefault="00204A74">
      <w:pPr>
        <w:rPr>
          <w:rFonts w:ascii="Arial" w:hAnsi="Arial" w:cs="Arial"/>
          <w:sz w:val="25"/>
          <w:szCs w:val="25"/>
        </w:rPr>
      </w:pPr>
      <w:r>
        <w:rPr>
          <w:rFonts w:ascii="Arial" w:hAnsi="Arial" w:cs="Arial"/>
          <w:sz w:val="25"/>
          <w:szCs w:val="25"/>
        </w:rPr>
        <w:br w:type="page"/>
      </w:r>
    </w:p>
    <w:bookmarkEnd w:id="2" w:displacedByCustomXml="next"/>
    <w:bookmarkStart w:id="8" w:name="_Toc121215142" w:displacedByCustomXml="next"/>
    <w:sdt>
      <w:sdtPr>
        <w:rPr>
          <w:rFonts w:asciiTheme="minorHAnsi" w:eastAsiaTheme="minorHAnsi" w:hAnsiTheme="minorHAnsi" w:cstheme="minorBidi"/>
          <w:color w:val="auto"/>
          <w:sz w:val="22"/>
          <w:szCs w:val="22"/>
        </w:rPr>
        <w:id w:val="1253158772"/>
        <w:docPartObj>
          <w:docPartGallery w:val="Bibliographies"/>
          <w:docPartUnique/>
        </w:docPartObj>
      </w:sdtPr>
      <w:sdtContent>
        <w:p w14:paraId="2544DAF7" w14:textId="77777777" w:rsidR="00404F32" w:rsidRDefault="00404F32">
          <w:pPr>
            <w:pStyle w:val="Heading1"/>
          </w:pPr>
          <w:r>
            <w:t>References</w:t>
          </w:r>
          <w:bookmarkEnd w:id="8"/>
        </w:p>
        <w:sdt>
          <w:sdtPr>
            <w:id w:val="-573587230"/>
            <w:bibliography/>
          </w:sdtPr>
          <w:sdtContent>
            <w:p w14:paraId="5D90F08C" w14:textId="4C42A5A3" w:rsidR="000178F9" w:rsidRDefault="000178F9" w:rsidP="00404F32">
              <w:pPr>
                <w:pStyle w:val="Bibliography"/>
              </w:pPr>
              <w:r>
                <w:t>World Health Organization</w:t>
              </w:r>
              <w:r w:rsidR="00102E2E">
                <w:t xml:space="preserve">, </w:t>
              </w:r>
              <w:r w:rsidRPr="000178F9">
                <w:t>202</w:t>
              </w:r>
              <w:r>
                <w:t>2</w:t>
              </w:r>
              <w:r w:rsidR="00102E2E">
                <w:t>.</w:t>
              </w:r>
              <w:r w:rsidRPr="000178F9">
                <w:t xml:space="preserve"> </w:t>
              </w:r>
              <w:r w:rsidRPr="000178F9">
                <w:rPr>
                  <w:i/>
                  <w:iCs/>
                </w:rPr>
                <w:t>C</w:t>
              </w:r>
              <w:r>
                <w:rPr>
                  <w:i/>
                  <w:iCs/>
                </w:rPr>
                <w:t>limate Change</w:t>
              </w:r>
              <w:r w:rsidRPr="000178F9">
                <w:t>.</w:t>
              </w:r>
              <w:r w:rsidR="00102E2E">
                <w:t xml:space="preserve"> [Online]</w:t>
              </w:r>
              <w:r w:rsidRPr="000178F9">
                <w:t xml:space="preserve"> Available at: https://www.who.int/health-topics/climate-change#tab=tab_1 </w:t>
              </w:r>
              <w:r w:rsidR="00976B49">
                <w:t>[</w:t>
              </w:r>
              <w:r w:rsidRPr="000178F9">
                <w:t xml:space="preserve">Accessed: </w:t>
              </w:r>
              <w:r>
                <w:t>20</w:t>
              </w:r>
              <w:r w:rsidRPr="000178F9">
                <w:t xml:space="preserve"> </w:t>
              </w:r>
              <w:proofErr w:type="gramStart"/>
              <w:r>
                <w:t>November,</w:t>
              </w:r>
              <w:proofErr w:type="gramEnd"/>
              <w:r>
                <w:t xml:space="preserve"> </w:t>
              </w:r>
              <w:r w:rsidRPr="000178F9">
                <w:t>202</w:t>
              </w:r>
              <w:r>
                <w:t>2</w:t>
              </w:r>
              <w:r w:rsidR="00976B49">
                <w:t>]</w:t>
              </w:r>
              <w:r w:rsidRPr="000178F9">
                <w:t>.</w:t>
              </w:r>
            </w:p>
            <w:p w14:paraId="1C691B41" w14:textId="11CF3362" w:rsidR="00976B49" w:rsidRPr="00976B49" w:rsidRDefault="00976B49" w:rsidP="00976B49">
              <w:r>
                <w:t>United Nations</w:t>
              </w:r>
              <w:r w:rsidR="00102E2E">
                <w:t xml:space="preserve">, </w:t>
              </w:r>
              <w:r>
                <w:t>2022</w:t>
              </w:r>
              <w:r w:rsidR="00102E2E">
                <w:t>.</w:t>
              </w:r>
              <w:r>
                <w:t xml:space="preserve"> </w:t>
              </w:r>
              <w:r>
                <w:rPr>
                  <w:i/>
                  <w:iCs/>
                </w:rPr>
                <w:t>The Paris Agreement.</w:t>
              </w:r>
              <w:r w:rsidR="00102E2E">
                <w:rPr>
                  <w:i/>
                  <w:iCs/>
                </w:rPr>
                <w:t xml:space="preserve"> </w:t>
              </w:r>
              <w:r w:rsidR="00102E2E">
                <w:t>[Online]</w:t>
              </w:r>
              <w:r>
                <w:rPr>
                  <w:i/>
                  <w:iCs/>
                </w:rPr>
                <w:t xml:space="preserve"> </w:t>
              </w:r>
              <w:r>
                <w:t xml:space="preserve">Available at: </w:t>
              </w:r>
              <w:r w:rsidRPr="004F65E8">
                <w:t>https://unfccc.int/process-and-meetings/the-paris-agreement/the-paris-agreement</w:t>
              </w:r>
              <w:r>
                <w:t xml:space="preserve"> [Accessed: 22 </w:t>
              </w:r>
              <w:proofErr w:type="gramStart"/>
              <w:r>
                <w:t>November,</w:t>
              </w:r>
              <w:proofErr w:type="gramEnd"/>
              <w:r>
                <w:t xml:space="preserve"> 2022</w:t>
              </w:r>
              <w:r w:rsidR="00102E2E">
                <w:t>]</w:t>
              </w:r>
              <w:r>
                <w:t>.</w:t>
              </w:r>
            </w:p>
            <w:p w14:paraId="074751C7" w14:textId="6F758712" w:rsidR="00404F32" w:rsidRDefault="00404F32" w:rsidP="00404F32">
              <w:pPr>
                <w:pStyle w:val="Bibliography"/>
              </w:pPr>
              <w:r>
                <w:fldChar w:fldCharType="begin"/>
              </w:r>
              <w:r>
                <w:instrText xml:space="preserve"> BIBLIOGRAPHY </w:instrText>
              </w:r>
              <w:r>
                <w:fldChar w:fldCharType="separate"/>
              </w:r>
              <w:r w:rsidRPr="00404F32">
                <w:t xml:space="preserve"> </w:t>
              </w:r>
              <w:r>
                <w:t>N</w:t>
              </w:r>
              <w:r w:rsidR="00102E2E">
                <w:t>ational</w:t>
              </w:r>
              <w:r>
                <w:t xml:space="preserve"> I</w:t>
              </w:r>
              <w:r w:rsidR="00102E2E">
                <w:t>ntelligence</w:t>
              </w:r>
              <w:r>
                <w:t xml:space="preserve"> C</w:t>
              </w:r>
              <w:r w:rsidR="00102E2E">
                <w:t>ouncil,</w:t>
              </w:r>
              <w:r>
                <w:t xml:space="preserve"> 2021. </w:t>
              </w:r>
              <w:r>
                <w:rPr>
                  <w:i/>
                  <w:iCs/>
                </w:rPr>
                <w:t>Climate change and international responses increasing challenges to US national security through 2040</w:t>
              </w:r>
              <w:r>
                <w:t>.</w:t>
              </w:r>
              <w:r w:rsidR="00102E2E">
                <w:t xml:space="preserve"> [Online]</w:t>
              </w:r>
              <w:r w:rsidR="00976B49">
                <w:t xml:space="preserve"> Available at:</w:t>
              </w:r>
              <w:r>
                <w:t xml:space="preserve"> https://purl.fdlp.gov/GPO/gpo171154</w:t>
              </w:r>
              <w:r w:rsidR="00976B49">
                <w:t xml:space="preserve"> [Accessed 22 November 2022].</w:t>
              </w:r>
            </w:p>
            <w:p w14:paraId="5618E581" w14:textId="26579C5A" w:rsidR="00404F32" w:rsidRPr="004F65E8" w:rsidRDefault="004B1B79" w:rsidP="00404F32">
              <w:r w:rsidRPr="004B1B79">
                <w:t xml:space="preserve">Office for National Statistics </w:t>
              </w:r>
              <w:r w:rsidR="004F65E8">
                <w:t>(</w:t>
              </w:r>
              <w:r w:rsidRPr="004B1B79">
                <w:t>2022</w:t>
              </w:r>
              <w:r w:rsidR="004F65E8">
                <w:t>)</w:t>
              </w:r>
              <w:r w:rsidRPr="004B1B79">
                <w:t xml:space="preserve"> </w:t>
              </w:r>
              <w:r w:rsidRPr="004F65E8">
                <w:rPr>
                  <w:i/>
                  <w:iCs/>
                </w:rPr>
                <w:t>Long-term international migration, provisional: year ending June 2022</w:t>
              </w:r>
              <w:r w:rsidR="004F65E8">
                <w:rPr>
                  <w:i/>
                  <w:iCs/>
                </w:rPr>
                <w:t>.</w:t>
              </w:r>
              <w:r w:rsidR="00102E2E">
                <w:rPr>
                  <w:i/>
                  <w:iCs/>
                </w:rPr>
                <w:t xml:space="preserve"> </w:t>
              </w:r>
              <w:r w:rsidR="00102E2E">
                <w:t>[Online]</w:t>
              </w:r>
              <w:r w:rsidR="004F65E8">
                <w:rPr>
                  <w:i/>
                  <w:iCs/>
                </w:rPr>
                <w:t xml:space="preserve"> </w:t>
              </w:r>
              <w:r w:rsidR="004F65E8">
                <w:t xml:space="preserve">Available at: </w:t>
              </w:r>
              <w:r w:rsidR="00102E2E" w:rsidRPr="00102E2E">
                <w:t>https://www.ons.gov.uk/peoplepopulationandcommunity/populationandmigration/internationalmigration/bulletins/longterminternationalmigrationprovisional/yearendingjune2022</w:t>
              </w:r>
              <w:r w:rsidR="004F65E8">
                <w:t xml:space="preserve"> [Accessed: 25 November 2022].</w:t>
              </w:r>
            </w:p>
            <w:p w14:paraId="14297822" w14:textId="77777777" w:rsidR="00F935C1" w:rsidRDefault="006305A6" w:rsidP="00404F32">
              <w:r w:rsidRPr="006305A6">
                <w:t xml:space="preserve">Greenhouse Gas Protocol, 2015. </w:t>
              </w:r>
              <w:r w:rsidRPr="006305A6">
                <w:rPr>
                  <w:i/>
                  <w:iCs/>
                </w:rPr>
                <w:t xml:space="preserve">The Greenhouse Gas Protocol: A Corporate Accounting and Reporting Standard. </w:t>
              </w:r>
              <w:r w:rsidRPr="006305A6">
                <w:t xml:space="preserve">[Online] Available at: https://ghgprotocol.org/sites/default/files/standards/ghg-protocol-revised.pdf [Accessed </w:t>
              </w:r>
              <w:r>
                <w:t>27</w:t>
              </w:r>
              <w:r w:rsidRPr="006305A6">
                <w:t xml:space="preserve"> November 202</w:t>
              </w:r>
              <w:r>
                <w:t>2</w:t>
              </w:r>
              <w:r w:rsidRPr="006305A6">
                <w:t>].</w:t>
              </w:r>
            </w:p>
            <w:p w14:paraId="15F263E8" w14:textId="45A03591" w:rsidR="00B172F2" w:rsidRDefault="00B172F2" w:rsidP="00404F32">
              <w:r>
                <w:t xml:space="preserve">Babcock International Group, 2022. </w:t>
              </w:r>
              <w:r>
                <w:rPr>
                  <w:i/>
                  <w:iCs/>
                </w:rPr>
                <w:t xml:space="preserve"> Annual Report and Financial Statements. </w:t>
              </w:r>
              <w:r>
                <w:t xml:space="preserve">[Online] Available at: </w:t>
              </w:r>
              <w:r w:rsidRPr="00B172F2">
                <w:t>https://www.babcockinternational.com/wp-content/uploads/2022/08/1.-BABCOCK-2022-AR-WEB_-1.pdf</w:t>
              </w:r>
              <w:r>
                <w:t xml:space="preserve"> [Accessed </w:t>
              </w:r>
              <w:r w:rsidR="00067A49">
                <w:t>19</w:t>
              </w:r>
              <w:r>
                <w:t xml:space="preserve"> November 2022].</w:t>
              </w:r>
            </w:p>
            <w:p w14:paraId="2E33DE35" w14:textId="0339305E" w:rsidR="00EF4EE8" w:rsidRDefault="00EF4EE8" w:rsidP="00404F32">
              <w:r>
                <w:t xml:space="preserve">Babcock International Group, 2021. </w:t>
              </w:r>
              <w:r>
                <w:rPr>
                  <w:i/>
                  <w:iCs/>
                </w:rPr>
                <w:t xml:space="preserve"> PPN 06/21 - Carbon Reduction Plan. </w:t>
              </w:r>
              <w:r>
                <w:t xml:space="preserve">[Online] Available at: </w:t>
              </w:r>
              <w:r w:rsidRPr="00EF4EE8">
                <w:t>https://www.babcockinternational.com/wp-content/uploads/2021/10/Babcock-International-Group-PLC-%E2%80%93-PPN-0621-Carbon-Reduction-Plan.pdf</w:t>
              </w:r>
              <w:r>
                <w:t xml:space="preserve"> [Accessed 21</w:t>
              </w:r>
            </w:p>
            <w:p w14:paraId="0EEF6D90" w14:textId="77777777" w:rsidR="0090272E" w:rsidRDefault="00D652CC" w:rsidP="00404F32">
              <w:r w:rsidRPr="00D652CC">
                <w:t>Dunphy, D., Benn, S. and Griffiths, A.</w:t>
              </w:r>
              <w:r w:rsidR="00431BAF">
                <w:t>, 20</w:t>
              </w:r>
              <w:r>
                <w:t>06</w:t>
              </w:r>
              <w:r w:rsidR="00431BAF">
                <w:t xml:space="preserve">. </w:t>
              </w:r>
              <w:r w:rsidRPr="00D652CC">
                <w:t>Enabling Change for Corporate Sustainability: An Integrated Perspective</w:t>
              </w:r>
              <w:r w:rsidR="00431BAF">
                <w:t xml:space="preserve">. </w:t>
              </w:r>
              <w:r w:rsidRPr="00D652CC">
                <w:rPr>
                  <w:rStyle w:val="Emphasis"/>
                </w:rPr>
                <w:t xml:space="preserve">Australasian Journal of Environmental Management </w:t>
              </w:r>
              <w:r w:rsidR="00431BAF">
                <w:t>[Online], 1</w:t>
              </w:r>
              <w:r>
                <w:t>3</w:t>
              </w:r>
              <w:r w:rsidR="00431BAF">
                <w:t>(</w:t>
              </w:r>
              <w:r>
                <w:t>3</w:t>
              </w:r>
              <w:r w:rsidR="00431BAF">
                <w:t xml:space="preserve">). Available from: </w:t>
              </w:r>
              <w:r w:rsidRPr="00D652CC">
                <w:t>https://www.tandfonline.com/doi/abs/10.1080/14486563.2006.10648683</w:t>
              </w:r>
              <w:r w:rsidR="00431BAF">
                <w:t xml:space="preserve"> [Accessed </w:t>
              </w:r>
              <w:r>
                <w:t>29 November</w:t>
              </w:r>
              <w:r w:rsidR="00431BAF">
                <w:t xml:space="preserve"> 202</w:t>
              </w:r>
              <w:r>
                <w:t>2</w:t>
              </w:r>
              <w:r w:rsidR="00431BAF">
                <w:t>].</w:t>
              </w:r>
            </w:p>
            <w:p w14:paraId="124ADC39" w14:textId="5D9C5D93" w:rsidR="00B8085A" w:rsidRDefault="00B8085A" w:rsidP="00404F32">
              <w:r>
                <w:t xml:space="preserve">Gurgel, A., 2022. </w:t>
              </w:r>
              <w:r>
                <w:rPr>
                  <w:i/>
                  <w:iCs/>
                </w:rPr>
                <w:t>Carbon Offsets.</w:t>
              </w:r>
              <w:r w:rsidR="006A4B87">
                <w:rPr>
                  <w:i/>
                  <w:iCs/>
                </w:rPr>
                <w:t xml:space="preserve"> </w:t>
              </w:r>
              <w:r w:rsidR="006A4B87">
                <w:t>[Online]</w:t>
              </w:r>
              <w:r>
                <w:rPr>
                  <w:i/>
                  <w:iCs/>
                </w:rPr>
                <w:t xml:space="preserve"> </w:t>
              </w:r>
              <w:r>
                <w:t xml:space="preserve">Available at: </w:t>
              </w:r>
              <w:r w:rsidRPr="00B8085A">
                <w:t>https://climate.mit.edu/explainers/carbon-offsets</w:t>
              </w:r>
              <w:r>
                <w:t>[Accessed 29 November 2022].</w:t>
              </w:r>
            </w:p>
            <w:p w14:paraId="5CEF1EF1" w14:textId="77777777" w:rsidR="00067A49" w:rsidRDefault="00FD6238" w:rsidP="00067A49">
              <w:r>
                <w:t xml:space="preserve">Axelsson, K., Caldecott, B., Hepburn, C. and Smith, S., 2020. </w:t>
              </w:r>
              <w:r w:rsidRPr="00FD6238">
                <w:rPr>
                  <w:i/>
                  <w:iCs/>
                </w:rPr>
                <w:t>The Oxford Principles for Net Zero Aligned Carbon</w:t>
              </w:r>
              <w:r>
                <w:rPr>
                  <w:i/>
                  <w:iCs/>
                </w:rPr>
                <w:t xml:space="preserve"> </w:t>
              </w:r>
              <w:r w:rsidRPr="00FD6238">
                <w:rPr>
                  <w:i/>
                  <w:iCs/>
                </w:rPr>
                <w:t>Offsetting</w:t>
              </w:r>
              <w:r w:rsidR="00067A49">
                <w:t xml:space="preserve">. </w:t>
              </w:r>
              <w:r w:rsidR="00067A49">
                <w:rPr>
                  <w:i/>
                  <w:iCs/>
                </w:rPr>
                <w:t xml:space="preserve"> </w:t>
              </w:r>
              <w:r w:rsidR="00067A49">
                <w:t xml:space="preserve">[Online] Available at: </w:t>
              </w:r>
              <w:r w:rsidR="00067A49" w:rsidRPr="00067A49">
                <w:t>https://www.smithschool.ox.ac.uk/sites/default/files/2022-01/Oxford-Offsetting-Principles-2020.pdf</w:t>
              </w:r>
              <w:r w:rsidR="00067A49">
                <w:t xml:space="preserve"> [Accessed 29 November 2022].</w:t>
              </w:r>
            </w:p>
            <w:p w14:paraId="5C82F225" w14:textId="77777777" w:rsidR="00067A49" w:rsidRDefault="00A15C18" w:rsidP="00067A49">
              <w:r>
                <w:t>Meggitt PLC</w:t>
              </w:r>
              <w:r w:rsidR="00067A49">
                <w:t>, 202</w:t>
              </w:r>
              <w:r>
                <w:t>1</w:t>
              </w:r>
              <w:r w:rsidR="00067A49">
                <w:t xml:space="preserve">. </w:t>
              </w:r>
              <w:r w:rsidR="00067A49">
                <w:rPr>
                  <w:i/>
                  <w:iCs/>
                </w:rPr>
                <w:t xml:space="preserve"> Annual Report and </w:t>
              </w:r>
              <w:r>
                <w:rPr>
                  <w:i/>
                  <w:iCs/>
                </w:rPr>
                <w:t>Accounts</w:t>
              </w:r>
              <w:r w:rsidR="00067A49">
                <w:rPr>
                  <w:i/>
                  <w:iCs/>
                </w:rPr>
                <w:t xml:space="preserve">. </w:t>
              </w:r>
              <w:r w:rsidR="00067A49">
                <w:t>[Online] Available at:</w:t>
              </w:r>
              <w:r w:rsidRPr="00A15C18">
                <w:t xml:space="preserve"> https://www.meggitt.com/resources/investors/Annual-Report-2021.pdf</w:t>
              </w:r>
              <w:r w:rsidR="00067A49">
                <w:t xml:space="preserve"> [Accessed </w:t>
              </w:r>
              <w:r>
                <w:t>27</w:t>
              </w:r>
              <w:r w:rsidR="00067A49">
                <w:t xml:space="preserve"> November 2022].</w:t>
              </w:r>
            </w:p>
            <w:p w14:paraId="2690532E" w14:textId="77777777" w:rsidR="00A15C18" w:rsidRDefault="00A15C18" w:rsidP="00A15C18">
              <w:r>
                <w:t xml:space="preserve">Qinetic Group PLC, 2022. </w:t>
              </w:r>
              <w:r>
                <w:rPr>
                  <w:i/>
                  <w:iCs/>
                </w:rPr>
                <w:t xml:space="preserve"> Annual Report and Accounts. </w:t>
              </w:r>
              <w:r>
                <w:t xml:space="preserve">[Online] Available at: </w:t>
              </w:r>
              <w:r w:rsidR="000E6EEB" w:rsidRPr="000E6EEB">
                <w:t>https://www.qinetiq.com/en/investors</w:t>
              </w:r>
              <w:r>
                <w:t xml:space="preserve"> [Accessed </w:t>
              </w:r>
              <w:r w:rsidR="000E6EEB">
                <w:t>27</w:t>
              </w:r>
              <w:r>
                <w:t xml:space="preserve"> November 2022].</w:t>
              </w:r>
            </w:p>
            <w:p w14:paraId="09D3C81B" w14:textId="77777777" w:rsidR="000B62A9" w:rsidRDefault="000B62A9" w:rsidP="00A15C18">
              <w:r w:rsidRPr="000B62A9">
                <w:t>Rüßmann</w:t>
              </w:r>
              <w:r>
                <w:t xml:space="preserve">, M., Lorenz, M., Gerbert, P., Waldner, M., Engel, P., Harnisch, M. and Justus, J., 2022. </w:t>
              </w:r>
              <w:r>
                <w:rPr>
                  <w:i/>
                  <w:iCs/>
                </w:rPr>
                <w:t xml:space="preserve">Industry 4.0: The Future of Productivity and Growth in Manufacturing Industries. </w:t>
              </w:r>
              <w:r>
                <w:t>[online] Available at:</w:t>
              </w:r>
              <w:r w:rsidRPr="000B62A9">
                <w:t xml:space="preserve"> https://www.bcg.com/publications/2015/engineered_products_project_business_industry_4_future_productivity_growth_manufacturing_industries</w:t>
              </w:r>
              <w:r>
                <w:t>[Accessed 29 November 2022].</w:t>
              </w:r>
            </w:p>
            <w:p w14:paraId="1CB076B9" w14:textId="0E0121B0" w:rsidR="000B62A9" w:rsidRDefault="00F05611" w:rsidP="00A15C18">
              <w:r w:rsidRPr="00F05611">
                <w:t>M. Hermann, T. Pentek and B. Otto,</w:t>
              </w:r>
              <w:r w:rsidR="00FE1407">
                <w:t xml:space="preserve"> 2016.</w:t>
              </w:r>
              <w:r w:rsidRPr="00F05611">
                <w:t xml:space="preserve"> "Design Principles for Industrie 4.0 Scenarios," </w:t>
              </w:r>
              <w:r w:rsidRPr="00F05611">
                <w:rPr>
                  <w:i/>
                  <w:iCs/>
                </w:rPr>
                <w:t>2016 49th Hawaii International Conference on System Sciences (HICSS)</w:t>
              </w:r>
              <w:r w:rsidRPr="00F05611">
                <w:t>,  pp. 3928-3937</w:t>
              </w:r>
              <w:r w:rsidR="00FD2441">
                <w:t>. [Online]</w:t>
              </w:r>
              <w:r w:rsidRPr="00F05611">
                <w:t xml:space="preserve"> </w:t>
              </w:r>
              <w:r w:rsidR="00BD1121">
                <w:t xml:space="preserve">Available at: </w:t>
              </w:r>
              <w:r w:rsidR="00BD1121" w:rsidRPr="00BD1121">
                <w:t xml:space="preserve">https://ieeexplore.ieee.org/document/7427673 </w:t>
              </w:r>
              <w:r w:rsidR="00FE1407">
                <w:t>[Accessed 1 December 2022]</w:t>
              </w:r>
            </w:p>
            <w:p w14:paraId="38C7528D" w14:textId="441B7625" w:rsidR="00F05611" w:rsidRDefault="00F05611" w:rsidP="00A15C18">
              <w:r w:rsidRPr="00F05611">
                <w:t xml:space="preserve">Kiel, D., J. Muller, C. Arnold, and Kai-Ingo Voigt. 2017. “Sustainable Industrial Value Creation: Benefits and Challenges of Industry 4.0.” </w:t>
              </w:r>
              <w:r w:rsidRPr="00F05611">
                <w:rPr>
                  <w:i/>
                  <w:iCs/>
                </w:rPr>
                <w:t>International Journal of Innovation Management</w:t>
              </w:r>
              <w:r w:rsidR="00FE1407">
                <w:rPr>
                  <w:i/>
                  <w:iCs/>
                </w:rPr>
                <w:t xml:space="preserve"> </w:t>
              </w:r>
              <w:r w:rsidR="00FE1407">
                <w:t>[Online],</w:t>
              </w:r>
              <w:r w:rsidRPr="00F05611">
                <w:t xml:space="preserve"> 21 (8): 1740015. </w:t>
              </w:r>
              <w:r w:rsidR="00FE1407">
                <w:t xml:space="preserve">Available at: </w:t>
              </w:r>
              <w:r w:rsidR="00FE1407" w:rsidRPr="00FE1407">
                <w:t xml:space="preserve">https://www.worldscientific.com/doi/abs/10.1142/S1363919617400151 </w:t>
              </w:r>
              <w:r w:rsidR="00FE1407">
                <w:t>[Accessed 1 December 2022]</w:t>
              </w:r>
              <w:r w:rsidRPr="00F05611">
                <w:t>.</w:t>
              </w:r>
            </w:p>
            <w:p w14:paraId="51B6BFAB" w14:textId="0582017A" w:rsidR="00F05611" w:rsidRDefault="00F05611" w:rsidP="00A15C18">
              <w:r w:rsidRPr="00F05611">
                <w:t xml:space="preserve">Waibel, M. W., L. P. Steenkamp, N. Moloko, and G. A. Oosthuizen. 2017. “Investigating the Effects of Smart Production Systems on Sustainability Elements.” </w:t>
              </w:r>
              <w:r w:rsidRPr="00F05611">
                <w:rPr>
                  <w:i/>
                  <w:iCs/>
                </w:rPr>
                <w:t>Procedia Manufacturing</w:t>
              </w:r>
              <w:r w:rsidR="00705305">
                <w:rPr>
                  <w:i/>
                  <w:iCs/>
                </w:rPr>
                <w:t xml:space="preserve"> </w:t>
              </w:r>
              <w:r w:rsidR="00705305">
                <w:t>[Online],</w:t>
              </w:r>
              <w:r w:rsidRPr="00F05611">
                <w:t xml:space="preserve"> 8: 731–737.</w:t>
              </w:r>
              <w:r w:rsidR="00705305">
                <w:t xml:space="preserve"> Available at: </w:t>
              </w:r>
              <w:r w:rsidR="00705305" w:rsidRPr="00705305">
                <w:t>https://www.sciencedirect.com/science/article/pii/S2351978917301002</w:t>
              </w:r>
              <w:r w:rsidR="00FE1407">
                <w:t xml:space="preserve"> [Accessed 1 December 2022]</w:t>
              </w:r>
              <w:r w:rsidRPr="00F05611">
                <w:t>.</w:t>
              </w:r>
            </w:p>
            <w:p w14:paraId="6AE3D1CB" w14:textId="77777777" w:rsidR="006A48A4" w:rsidRPr="006A48A4" w:rsidRDefault="006A48A4" w:rsidP="006A48A4">
              <w:pPr>
                <w:rPr>
                  <w:b/>
                  <w:bCs/>
                </w:rPr>
              </w:pPr>
              <w:r>
                <w:t>Afrin</w:t>
              </w:r>
              <w:r w:rsidRPr="00D652CC">
                <w:t xml:space="preserve">, </w:t>
              </w:r>
              <w:r>
                <w:t>K</w:t>
              </w:r>
              <w:r w:rsidRPr="00D652CC">
                <w:t xml:space="preserve">., </w:t>
              </w:r>
              <w:r>
                <w:t>Iquebal</w:t>
              </w:r>
              <w:r w:rsidRPr="00D652CC">
                <w:t xml:space="preserve">, </w:t>
              </w:r>
              <w:r>
                <w:t>A.</w:t>
              </w:r>
              <w:r w:rsidRPr="00D652CC">
                <w:t>S.</w:t>
              </w:r>
              <w:r>
                <w:t>,</w:t>
              </w:r>
              <w:r w:rsidRPr="00D652CC">
                <w:t xml:space="preserve"> </w:t>
              </w:r>
              <w:r>
                <w:t>Kumar</w:t>
              </w:r>
              <w:r w:rsidRPr="00D652CC">
                <w:t xml:space="preserve">, </w:t>
              </w:r>
              <w:r>
                <w:t xml:space="preserve">S.K, Tiwari, MK., Benyoucef, L. and Dolgui, A. , 2016. </w:t>
              </w:r>
              <w:r w:rsidRPr="006A48A4">
                <w:t>Towards green automated production line with rotary transfer and turrets: a multi-objective approach using a binary scatter tabu search procedure</w:t>
              </w:r>
              <w:r>
                <w:t>.</w:t>
              </w:r>
              <w:r w:rsidRPr="006A48A4">
                <w:t xml:space="preserve"> </w:t>
              </w:r>
              <w:r w:rsidRPr="006A48A4">
                <w:rPr>
                  <w:i/>
                  <w:iCs/>
                </w:rPr>
                <w:t>International Journal of Computer Integrated Manufacturing</w:t>
              </w:r>
              <w:r w:rsidRPr="00D652CC">
                <w:rPr>
                  <w:rStyle w:val="Emphasis"/>
                </w:rPr>
                <w:t xml:space="preserve"> </w:t>
              </w:r>
              <w:r>
                <w:t xml:space="preserve">[Online], 29(7). Available from: </w:t>
              </w:r>
              <w:r w:rsidR="000178F9" w:rsidRPr="000178F9">
                <w:t>https://www.tandfonline.com/doi/pdf/10.1080/0951192X.2015.1109143</w:t>
              </w:r>
              <w:r>
                <w:t xml:space="preserve"> [Accessed 2</w:t>
              </w:r>
              <w:r w:rsidR="000178F9">
                <w:t>6</w:t>
              </w:r>
              <w:r>
                <w:t xml:space="preserve"> November 2022].</w:t>
              </w:r>
            </w:p>
            <w:p w14:paraId="40F44E4F" w14:textId="77777777" w:rsidR="006A48A4" w:rsidRDefault="006A48A4" w:rsidP="00A15C18"/>
            <w:p w14:paraId="776D0663" w14:textId="77777777" w:rsidR="00F05611" w:rsidRPr="000B62A9" w:rsidRDefault="00F05611" w:rsidP="00A15C18"/>
            <w:p w14:paraId="2C9AEE11" w14:textId="77777777" w:rsidR="000E6EEB" w:rsidRDefault="000E6EEB" w:rsidP="00A15C18"/>
            <w:p w14:paraId="4EABBD72" w14:textId="77777777" w:rsidR="00A15C18" w:rsidRDefault="00A15C18" w:rsidP="00067A49"/>
            <w:p w14:paraId="2D8F8BE4" w14:textId="77777777" w:rsidR="00A15C18" w:rsidRDefault="00A15C18" w:rsidP="00067A49"/>
            <w:p w14:paraId="76F67C9F" w14:textId="77777777" w:rsidR="00067A49" w:rsidRDefault="00067A49" w:rsidP="00067A49"/>
            <w:p w14:paraId="6917D4F3" w14:textId="77777777" w:rsidR="00067A49" w:rsidRDefault="00067A49" w:rsidP="00067A49"/>
            <w:p w14:paraId="52514B6A" w14:textId="77777777" w:rsidR="00B8085A" w:rsidRPr="00FD6238" w:rsidRDefault="00B8085A" w:rsidP="00404F32"/>
            <w:p w14:paraId="13C6F2E2" w14:textId="77777777" w:rsidR="00B0078B" w:rsidRDefault="00B0078B" w:rsidP="00404F32"/>
            <w:p w14:paraId="5260859E" w14:textId="77777777" w:rsidR="00B0078B" w:rsidRDefault="00B0078B" w:rsidP="00404F32"/>
            <w:p w14:paraId="5BF2DD1B" w14:textId="77777777" w:rsidR="00B172F2" w:rsidRDefault="00B172F2" w:rsidP="00404F32"/>
            <w:p w14:paraId="0F19456E" w14:textId="77777777" w:rsidR="00B172F2" w:rsidRPr="00B172F2" w:rsidRDefault="00B172F2" w:rsidP="00404F32"/>
            <w:p w14:paraId="578940A9" w14:textId="77777777" w:rsidR="008F2346" w:rsidRDefault="008F2346" w:rsidP="00404F32"/>
            <w:p w14:paraId="478279F9" w14:textId="77777777" w:rsidR="006305A6" w:rsidRDefault="006305A6" w:rsidP="00404F32"/>
            <w:p w14:paraId="738E127B" w14:textId="77777777" w:rsidR="004B1B79" w:rsidRPr="00404F32" w:rsidRDefault="004B1B79" w:rsidP="00404F32"/>
            <w:p w14:paraId="2C67EE66" w14:textId="77777777" w:rsidR="00404F32" w:rsidRPr="00404F32" w:rsidRDefault="00404F32" w:rsidP="00404F32"/>
            <w:p w14:paraId="2A318052" w14:textId="77777777" w:rsidR="00404F32" w:rsidRDefault="00404F32" w:rsidP="00404F32">
              <w:r>
                <w:rPr>
                  <w:b/>
                  <w:bCs/>
                  <w:noProof/>
                </w:rPr>
                <w:fldChar w:fldCharType="end"/>
              </w:r>
            </w:p>
          </w:sdtContent>
        </w:sdt>
      </w:sdtContent>
    </w:sdt>
    <w:p w14:paraId="48148548" w14:textId="77777777" w:rsidR="00A21038" w:rsidRPr="00576BA9" w:rsidRDefault="00A21038" w:rsidP="00D93A9C">
      <w:pPr>
        <w:rPr>
          <w:rFonts w:ascii="Arial" w:hAnsi="Arial" w:cs="Arial"/>
          <w:sz w:val="24"/>
          <w:szCs w:val="24"/>
        </w:rPr>
      </w:pPr>
    </w:p>
    <w:sectPr w:rsidR="00A21038" w:rsidRPr="00576BA9" w:rsidSect="004F5EB0">
      <w:footerReference w:type="default" r:id="rId12"/>
      <w:pgSz w:w="15120" w:h="21600" w:code="3"/>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7FDF1" w14:textId="77777777" w:rsidR="00ED5FE9" w:rsidRDefault="00ED5FE9" w:rsidP="007D1208">
      <w:pPr>
        <w:spacing w:after="0" w:line="240" w:lineRule="auto"/>
      </w:pPr>
      <w:r>
        <w:separator/>
      </w:r>
    </w:p>
  </w:endnote>
  <w:endnote w:type="continuationSeparator" w:id="0">
    <w:p w14:paraId="4C7E3A4D" w14:textId="77777777" w:rsidR="00ED5FE9" w:rsidRDefault="00ED5FE9" w:rsidP="007D1208">
      <w:pPr>
        <w:spacing w:after="0" w:line="240" w:lineRule="auto"/>
      </w:pPr>
      <w:r>
        <w:continuationSeparator/>
      </w:r>
    </w:p>
  </w:endnote>
  <w:endnote w:id="1">
    <w:p w14:paraId="72CA8B1A" w14:textId="77777777" w:rsidR="00AC0172" w:rsidRDefault="00AC0172">
      <w:pPr>
        <w:pStyle w:val="EndnoteText"/>
      </w:pPr>
      <w:r>
        <w:rPr>
          <w:rStyle w:val="EndnoteReference"/>
        </w:rPr>
        <w:endnoteRef/>
      </w:r>
      <w:r>
        <w:t xml:space="preserve"> </w:t>
      </w:r>
      <w:r w:rsidRPr="00C312B8">
        <w:rPr>
          <w:i/>
          <w:iCs/>
        </w:rPr>
        <w:t>Babcock Group Sustainability Journey as outlined in the Annual Report for 2022.</w:t>
      </w:r>
      <w:r w:rsidR="0023409B" w:rsidRPr="00C312B8">
        <w:rPr>
          <w:i/>
          <w:iCs/>
        </w:rPr>
        <w:t>(Below</w:t>
      </w:r>
      <w:r w:rsidR="00C312B8">
        <w:rPr>
          <w:i/>
          <w:iCs/>
        </w:rPr>
        <w:t>)</w:t>
      </w:r>
      <w:r>
        <w:rPr>
          <w:noProof/>
        </w:rPr>
        <w:drawing>
          <wp:inline distT="0" distB="0" distL="0" distR="0" wp14:anchorId="781E34C3" wp14:editId="39DB0777">
            <wp:extent cx="8686800" cy="26060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8686800" cy="2606040"/>
                    </a:xfrm>
                    <a:prstGeom prst="rect">
                      <a:avLst/>
                    </a:prstGeom>
                  </pic:spPr>
                </pic:pic>
              </a:graphicData>
            </a:graphic>
          </wp:inline>
        </w:drawing>
      </w:r>
    </w:p>
  </w:endnote>
  <w:endnote w:id="2">
    <w:p w14:paraId="5F476AF1" w14:textId="77777777" w:rsidR="00247AFB" w:rsidRDefault="00247AFB" w:rsidP="00247AFB">
      <w:pPr>
        <w:pStyle w:val="EndnoteText"/>
        <w:rPr>
          <w:i/>
          <w:iCs/>
          <w:sz w:val="24"/>
          <w:szCs w:val="24"/>
        </w:rPr>
      </w:pPr>
      <w:r>
        <w:rPr>
          <w:rStyle w:val="EndnoteReference"/>
        </w:rPr>
        <w:endnoteRef/>
      </w:r>
      <w:r w:rsidR="00C312B8" w:rsidRPr="00C312B8">
        <w:rPr>
          <w:i/>
          <w:iCs/>
        </w:rPr>
        <w:t>Babcock International Group PLC’s Scope 1 and 2 Carbon Emissions – Actual vs Projected(Below)</w:t>
      </w:r>
    </w:p>
    <w:p w14:paraId="51DE7B30" w14:textId="77777777" w:rsidR="00C312B8" w:rsidRDefault="00C312B8" w:rsidP="00247AFB">
      <w:pPr>
        <w:pStyle w:val="EndnoteText"/>
        <w:rPr>
          <w:i/>
          <w:iCs/>
          <w:sz w:val="24"/>
          <w:szCs w:val="24"/>
        </w:rPr>
      </w:pPr>
      <w:r>
        <w:rPr>
          <w:i/>
          <w:iCs/>
          <w:noProof/>
          <w:sz w:val="24"/>
          <w:szCs w:val="24"/>
        </w:rPr>
        <w:drawing>
          <wp:inline distT="0" distB="0" distL="0" distR="0" wp14:anchorId="22BA25FE" wp14:editId="5A5038DE">
            <wp:extent cx="7053263" cy="3421451"/>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
                      <a:extLst>
                        <a:ext uri="{28A0092B-C50C-407E-A947-70E740481C1C}">
                          <a14:useLocalDpi xmlns:a14="http://schemas.microsoft.com/office/drawing/2010/main" val="0"/>
                        </a:ext>
                      </a:extLst>
                    </a:blip>
                    <a:stretch>
                      <a:fillRect/>
                    </a:stretch>
                  </pic:blipFill>
                  <pic:spPr>
                    <a:xfrm>
                      <a:off x="0" y="0"/>
                      <a:ext cx="7087639" cy="3438126"/>
                    </a:xfrm>
                    <a:prstGeom prst="rect">
                      <a:avLst/>
                    </a:prstGeom>
                  </pic:spPr>
                </pic:pic>
              </a:graphicData>
            </a:graphic>
          </wp:inline>
        </w:drawing>
      </w:r>
    </w:p>
    <w:p w14:paraId="5F28BFE5" w14:textId="77777777" w:rsidR="00247AFB" w:rsidRPr="0023409B" w:rsidRDefault="00247AFB" w:rsidP="00247AFB">
      <w:pPr>
        <w:pStyle w:val="EndnoteText"/>
      </w:pPr>
    </w:p>
  </w:endnote>
  <w:endnote w:id="3">
    <w:p w14:paraId="39569DC4" w14:textId="77777777" w:rsidR="00247AFB" w:rsidRDefault="00247AFB" w:rsidP="00247AFB">
      <w:pPr>
        <w:pStyle w:val="EndnoteText"/>
        <w:rPr>
          <w:i/>
          <w:iCs/>
        </w:rPr>
      </w:pPr>
      <w:r>
        <w:rPr>
          <w:rStyle w:val="EndnoteReference"/>
        </w:rPr>
        <w:endnoteRef/>
      </w:r>
      <w:r>
        <w:t xml:space="preserve"> </w:t>
      </w:r>
      <w:r w:rsidR="00C312B8" w:rsidRPr="00C312B8">
        <w:rPr>
          <w:i/>
          <w:iCs/>
        </w:rPr>
        <w:t xml:space="preserve">Babcock International Group PLC’s Scope </w:t>
      </w:r>
      <w:r w:rsidR="00C312B8">
        <w:rPr>
          <w:i/>
          <w:iCs/>
        </w:rPr>
        <w:t>3</w:t>
      </w:r>
      <w:r w:rsidR="00C312B8" w:rsidRPr="00C312B8">
        <w:rPr>
          <w:i/>
          <w:iCs/>
        </w:rPr>
        <w:t xml:space="preserve"> Carbon Emissions – Actual vs Projected</w:t>
      </w:r>
      <w:r w:rsidR="00C312B8">
        <w:rPr>
          <w:i/>
          <w:iCs/>
        </w:rPr>
        <w:t>(Below)</w:t>
      </w:r>
    </w:p>
    <w:p w14:paraId="4AEF3F6B" w14:textId="77777777" w:rsidR="00C312B8" w:rsidRPr="00C312B8" w:rsidRDefault="00C312B8" w:rsidP="00247AFB">
      <w:pPr>
        <w:pStyle w:val="EndnoteText"/>
        <w:rPr>
          <w:i/>
          <w:iCs/>
          <w:sz w:val="24"/>
          <w:szCs w:val="24"/>
        </w:rPr>
      </w:pPr>
      <w:r>
        <w:rPr>
          <w:i/>
          <w:iCs/>
          <w:noProof/>
          <w:sz w:val="24"/>
          <w:szCs w:val="24"/>
        </w:rPr>
        <w:drawing>
          <wp:inline distT="0" distB="0" distL="0" distR="0" wp14:anchorId="52A2944F" wp14:editId="4220779C">
            <wp:extent cx="7043738" cy="3576963"/>
            <wp:effectExtent l="0" t="0" r="508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3">
                      <a:extLst>
                        <a:ext uri="{28A0092B-C50C-407E-A947-70E740481C1C}">
                          <a14:useLocalDpi xmlns:a14="http://schemas.microsoft.com/office/drawing/2010/main" val="0"/>
                        </a:ext>
                      </a:extLst>
                    </a:blip>
                    <a:stretch>
                      <a:fillRect/>
                    </a:stretch>
                  </pic:blipFill>
                  <pic:spPr>
                    <a:xfrm>
                      <a:off x="0" y="0"/>
                      <a:ext cx="7056693" cy="3583542"/>
                    </a:xfrm>
                    <a:prstGeom prst="rect">
                      <a:avLst/>
                    </a:prstGeom>
                  </pic:spPr>
                </pic:pic>
              </a:graphicData>
            </a:graphic>
          </wp:inline>
        </w:drawing>
      </w:r>
    </w:p>
    <w:p w14:paraId="5760D631" w14:textId="77777777" w:rsidR="00247AFB" w:rsidRDefault="00247AFB" w:rsidP="00247AFB">
      <w:pPr>
        <w:pStyle w:val="EndnoteText"/>
        <w:rPr>
          <w:i/>
          <w:iCs/>
          <w:sz w:val="24"/>
          <w:szCs w:val="24"/>
        </w:rPr>
      </w:pPr>
    </w:p>
    <w:p w14:paraId="39060C57" w14:textId="77777777" w:rsidR="00247AFB" w:rsidRPr="0023409B" w:rsidRDefault="00247AFB" w:rsidP="00247AFB">
      <w:pPr>
        <w:pStyle w:val="EndnoteText"/>
        <w:rPr>
          <w:i/>
          <w:iCs/>
          <w:sz w:val="24"/>
          <w:szCs w:val="24"/>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6766817"/>
      <w:docPartObj>
        <w:docPartGallery w:val="Page Numbers (Bottom of Page)"/>
        <w:docPartUnique/>
      </w:docPartObj>
    </w:sdtPr>
    <w:sdtEndPr>
      <w:rPr>
        <w:noProof/>
      </w:rPr>
    </w:sdtEndPr>
    <w:sdtContent>
      <w:p w14:paraId="51FEB610" w14:textId="77777777" w:rsidR="004F5EB0" w:rsidRDefault="004F5EB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39B5EDA" w14:textId="77777777" w:rsidR="004F5EB0" w:rsidRDefault="004F5E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40925" w14:textId="77777777" w:rsidR="00ED5FE9" w:rsidRDefault="00ED5FE9" w:rsidP="007D1208">
      <w:pPr>
        <w:spacing w:after="0" w:line="240" w:lineRule="auto"/>
      </w:pPr>
      <w:r>
        <w:separator/>
      </w:r>
    </w:p>
  </w:footnote>
  <w:footnote w:type="continuationSeparator" w:id="0">
    <w:p w14:paraId="2B9CBD20" w14:textId="77777777" w:rsidR="00ED5FE9" w:rsidRDefault="00ED5FE9" w:rsidP="007D12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2082A"/>
    <w:multiLevelType w:val="hybridMultilevel"/>
    <w:tmpl w:val="4F5606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410FDF"/>
    <w:multiLevelType w:val="hybridMultilevel"/>
    <w:tmpl w:val="968267C8"/>
    <w:lvl w:ilvl="0" w:tplc="C5D61DB2">
      <w:start w:val="1"/>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877A1E"/>
    <w:multiLevelType w:val="hybridMultilevel"/>
    <w:tmpl w:val="F57A00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E1672B"/>
    <w:multiLevelType w:val="hybridMultilevel"/>
    <w:tmpl w:val="4B9C0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DA7AB5"/>
    <w:multiLevelType w:val="hybridMultilevel"/>
    <w:tmpl w:val="AE905A0C"/>
    <w:lvl w:ilvl="0" w:tplc="62AE36AC">
      <w:start w:val="3"/>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6B695B"/>
    <w:multiLevelType w:val="hybridMultilevel"/>
    <w:tmpl w:val="30569F14"/>
    <w:lvl w:ilvl="0" w:tplc="487651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1E1860"/>
    <w:multiLevelType w:val="hybridMultilevel"/>
    <w:tmpl w:val="A4C8362C"/>
    <w:lvl w:ilvl="0" w:tplc="131A0B94">
      <w:start w:val="1"/>
      <w:numFmt w:val="bullet"/>
      <w:lvlText w:val=""/>
      <w:lvlJc w:val="left"/>
      <w:pPr>
        <w:ind w:left="428" w:hanging="360"/>
      </w:pPr>
      <w:rPr>
        <w:rFonts w:ascii="Wingdings" w:eastAsiaTheme="minorHAnsi" w:hAnsi="Wingdings" w:cs="Arial" w:hint="default"/>
      </w:rPr>
    </w:lvl>
    <w:lvl w:ilvl="1" w:tplc="04090003" w:tentative="1">
      <w:start w:val="1"/>
      <w:numFmt w:val="bullet"/>
      <w:lvlText w:val="o"/>
      <w:lvlJc w:val="left"/>
      <w:pPr>
        <w:ind w:left="1148" w:hanging="360"/>
      </w:pPr>
      <w:rPr>
        <w:rFonts w:ascii="Courier New" w:hAnsi="Courier New" w:cs="Courier New" w:hint="default"/>
      </w:rPr>
    </w:lvl>
    <w:lvl w:ilvl="2" w:tplc="04090005" w:tentative="1">
      <w:start w:val="1"/>
      <w:numFmt w:val="bullet"/>
      <w:lvlText w:val=""/>
      <w:lvlJc w:val="left"/>
      <w:pPr>
        <w:ind w:left="1868" w:hanging="360"/>
      </w:pPr>
      <w:rPr>
        <w:rFonts w:ascii="Wingdings" w:hAnsi="Wingdings" w:hint="default"/>
      </w:rPr>
    </w:lvl>
    <w:lvl w:ilvl="3" w:tplc="04090001" w:tentative="1">
      <w:start w:val="1"/>
      <w:numFmt w:val="bullet"/>
      <w:lvlText w:val=""/>
      <w:lvlJc w:val="left"/>
      <w:pPr>
        <w:ind w:left="2588" w:hanging="360"/>
      </w:pPr>
      <w:rPr>
        <w:rFonts w:ascii="Symbol" w:hAnsi="Symbol" w:hint="default"/>
      </w:rPr>
    </w:lvl>
    <w:lvl w:ilvl="4" w:tplc="04090003" w:tentative="1">
      <w:start w:val="1"/>
      <w:numFmt w:val="bullet"/>
      <w:lvlText w:val="o"/>
      <w:lvlJc w:val="left"/>
      <w:pPr>
        <w:ind w:left="3308" w:hanging="360"/>
      </w:pPr>
      <w:rPr>
        <w:rFonts w:ascii="Courier New" w:hAnsi="Courier New" w:cs="Courier New" w:hint="default"/>
      </w:rPr>
    </w:lvl>
    <w:lvl w:ilvl="5" w:tplc="04090005" w:tentative="1">
      <w:start w:val="1"/>
      <w:numFmt w:val="bullet"/>
      <w:lvlText w:val=""/>
      <w:lvlJc w:val="left"/>
      <w:pPr>
        <w:ind w:left="4028" w:hanging="360"/>
      </w:pPr>
      <w:rPr>
        <w:rFonts w:ascii="Wingdings" w:hAnsi="Wingdings" w:hint="default"/>
      </w:rPr>
    </w:lvl>
    <w:lvl w:ilvl="6" w:tplc="04090001" w:tentative="1">
      <w:start w:val="1"/>
      <w:numFmt w:val="bullet"/>
      <w:lvlText w:val=""/>
      <w:lvlJc w:val="left"/>
      <w:pPr>
        <w:ind w:left="4748" w:hanging="360"/>
      </w:pPr>
      <w:rPr>
        <w:rFonts w:ascii="Symbol" w:hAnsi="Symbol" w:hint="default"/>
      </w:rPr>
    </w:lvl>
    <w:lvl w:ilvl="7" w:tplc="04090003" w:tentative="1">
      <w:start w:val="1"/>
      <w:numFmt w:val="bullet"/>
      <w:lvlText w:val="o"/>
      <w:lvlJc w:val="left"/>
      <w:pPr>
        <w:ind w:left="5468" w:hanging="360"/>
      </w:pPr>
      <w:rPr>
        <w:rFonts w:ascii="Courier New" w:hAnsi="Courier New" w:cs="Courier New" w:hint="default"/>
      </w:rPr>
    </w:lvl>
    <w:lvl w:ilvl="8" w:tplc="04090005" w:tentative="1">
      <w:start w:val="1"/>
      <w:numFmt w:val="bullet"/>
      <w:lvlText w:val=""/>
      <w:lvlJc w:val="left"/>
      <w:pPr>
        <w:ind w:left="6188" w:hanging="360"/>
      </w:pPr>
      <w:rPr>
        <w:rFonts w:ascii="Wingdings" w:hAnsi="Wingdings" w:hint="default"/>
      </w:rPr>
    </w:lvl>
  </w:abstractNum>
  <w:abstractNum w:abstractNumId="7" w15:restartNumberingAfterBreak="0">
    <w:nsid w:val="7D2C5F31"/>
    <w:multiLevelType w:val="hybridMultilevel"/>
    <w:tmpl w:val="49886E42"/>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num w:numId="1" w16cid:durableId="1066028084">
    <w:abstractNumId w:val="4"/>
  </w:num>
  <w:num w:numId="2" w16cid:durableId="1234394047">
    <w:abstractNumId w:val="3"/>
  </w:num>
  <w:num w:numId="3" w16cid:durableId="159515134">
    <w:abstractNumId w:val="5"/>
  </w:num>
  <w:num w:numId="4" w16cid:durableId="995184167">
    <w:abstractNumId w:val="2"/>
  </w:num>
  <w:num w:numId="5" w16cid:durableId="1905090">
    <w:abstractNumId w:val="1"/>
  </w:num>
  <w:num w:numId="6" w16cid:durableId="928777342">
    <w:abstractNumId w:val="6"/>
  </w:num>
  <w:num w:numId="7" w16cid:durableId="2097093576">
    <w:abstractNumId w:val="7"/>
  </w:num>
  <w:num w:numId="8" w16cid:durableId="1303384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6AF"/>
    <w:rsid w:val="0000035F"/>
    <w:rsid w:val="00003086"/>
    <w:rsid w:val="00003CF1"/>
    <w:rsid w:val="000178F9"/>
    <w:rsid w:val="000519B4"/>
    <w:rsid w:val="00061B99"/>
    <w:rsid w:val="00067A49"/>
    <w:rsid w:val="00087BEC"/>
    <w:rsid w:val="00094CF5"/>
    <w:rsid w:val="000B62A9"/>
    <w:rsid w:val="000D0DF6"/>
    <w:rsid w:val="000E6EEB"/>
    <w:rsid w:val="00102E2E"/>
    <w:rsid w:val="0014235A"/>
    <w:rsid w:val="001B2A9D"/>
    <w:rsid w:val="001D156E"/>
    <w:rsid w:val="001D1867"/>
    <w:rsid w:val="001E2E76"/>
    <w:rsid w:val="00204A74"/>
    <w:rsid w:val="00233830"/>
    <w:rsid w:val="0023409B"/>
    <w:rsid w:val="002406C0"/>
    <w:rsid w:val="0024099B"/>
    <w:rsid w:val="00247AFB"/>
    <w:rsid w:val="002951DD"/>
    <w:rsid w:val="002B099C"/>
    <w:rsid w:val="002D356C"/>
    <w:rsid w:val="002D5355"/>
    <w:rsid w:val="002D5E4C"/>
    <w:rsid w:val="002D7040"/>
    <w:rsid w:val="003138DB"/>
    <w:rsid w:val="0032154F"/>
    <w:rsid w:val="003275B0"/>
    <w:rsid w:val="00330CEB"/>
    <w:rsid w:val="00332EA2"/>
    <w:rsid w:val="00335A94"/>
    <w:rsid w:val="00351D11"/>
    <w:rsid w:val="003532C4"/>
    <w:rsid w:val="003556AF"/>
    <w:rsid w:val="00387C09"/>
    <w:rsid w:val="003C268F"/>
    <w:rsid w:val="00404F32"/>
    <w:rsid w:val="0040655B"/>
    <w:rsid w:val="00431BAF"/>
    <w:rsid w:val="00442290"/>
    <w:rsid w:val="004461DB"/>
    <w:rsid w:val="0045150F"/>
    <w:rsid w:val="00467F66"/>
    <w:rsid w:val="004707AD"/>
    <w:rsid w:val="00492CBF"/>
    <w:rsid w:val="004971AA"/>
    <w:rsid w:val="004B1B79"/>
    <w:rsid w:val="004B41A9"/>
    <w:rsid w:val="004F5EB0"/>
    <w:rsid w:val="004F65E8"/>
    <w:rsid w:val="005010F5"/>
    <w:rsid w:val="005055DF"/>
    <w:rsid w:val="005159E0"/>
    <w:rsid w:val="0052161B"/>
    <w:rsid w:val="00525E7A"/>
    <w:rsid w:val="0054170C"/>
    <w:rsid w:val="005446AD"/>
    <w:rsid w:val="00551A90"/>
    <w:rsid w:val="005741BE"/>
    <w:rsid w:val="00576BA9"/>
    <w:rsid w:val="00584718"/>
    <w:rsid w:val="0059580B"/>
    <w:rsid w:val="005A6490"/>
    <w:rsid w:val="005B09D0"/>
    <w:rsid w:val="005B7A3D"/>
    <w:rsid w:val="006015A8"/>
    <w:rsid w:val="006061C9"/>
    <w:rsid w:val="0061331E"/>
    <w:rsid w:val="00623F84"/>
    <w:rsid w:val="00630375"/>
    <w:rsid w:val="006305A6"/>
    <w:rsid w:val="00644493"/>
    <w:rsid w:val="00655C05"/>
    <w:rsid w:val="00684F49"/>
    <w:rsid w:val="006979D8"/>
    <w:rsid w:val="006A48A4"/>
    <w:rsid w:val="006A4B87"/>
    <w:rsid w:val="006A520C"/>
    <w:rsid w:val="006A6E49"/>
    <w:rsid w:val="006B12CE"/>
    <w:rsid w:val="006B5877"/>
    <w:rsid w:val="006C4564"/>
    <w:rsid w:val="006F49CC"/>
    <w:rsid w:val="00702678"/>
    <w:rsid w:val="0070439C"/>
    <w:rsid w:val="00705305"/>
    <w:rsid w:val="00752656"/>
    <w:rsid w:val="007624CA"/>
    <w:rsid w:val="007635BF"/>
    <w:rsid w:val="00785365"/>
    <w:rsid w:val="00785CAB"/>
    <w:rsid w:val="007A189A"/>
    <w:rsid w:val="007C5A3E"/>
    <w:rsid w:val="007D1208"/>
    <w:rsid w:val="007E7F09"/>
    <w:rsid w:val="007F7F1F"/>
    <w:rsid w:val="0081370D"/>
    <w:rsid w:val="00826352"/>
    <w:rsid w:val="00827DD6"/>
    <w:rsid w:val="00835785"/>
    <w:rsid w:val="0085735F"/>
    <w:rsid w:val="00870A07"/>
    <w:rsid w:val="008832F7"/>
    <w:rsid w:val="008E17C1"/>
    <w:rsid w:val="008E3F29"/>
    <w:rsid w:val="008F2346"/>
    <w:rsid w:val="0090272E"/>
    <w:rsid w:val="009145E0"/>
    <w:rsid w:val="00916B72"/>
    <w:rsid w:val="0092244D"/>
    <w:rsid w:val="009244D1"/>
    <w:rsid w:val="00931363"/>
    <w:rsid w:val="00947B9F"/>
    <w:rsid w:val="009764DD"/>
    <w:rsid w:val="00976B49"/>
    <w:rsid w:val="009844FD"/>
    <w:rsid w:val="009952CA"/>
    <w:rsid w:val="009A08F7"/>
    <w:rsid w:val="009A3C89"/>
    <w:rsid w:val="009A4805"/>
    <w:rsid w:val="009B25D8"/>
    <w:rsid w:val="009D51F1"/>
    <w:rsid w:val="009E5C95"/>
    <w:rsid w:val="009F2825"/>
    <w:rsid w:val="00A00206"/>
    <w:rsid w:val="00A15C18"/>
    <w:rsid w:val="00A21038"/>
    <w:rsid w:val="00A50D29"/>
    <w:rsid w:val="00A641AC"/>
    <w:rsid w:val="00A77BAF"/>
    <w:rsid w:val="00AB7CFF"/>
    <w:rsid w:val="00AC0172"/>
    <w:rsid w:val="00AC2729"/>
    <w:rsid w:val="00AE6BC4"/>
    <w:rsid w:val="00AF7D24"/>
    <w:rsid w:val="00B0078B"/>
    <w:rsid w:val="00B172F2"/>
    <w:rsid w:val="00B360D9"/>
    <w:rsid w:val="00B5370B"/>
    <w:rsid w:val="00B72336"/>
    <w:rsid w:val="00B8085A"/>
    <w:rsid w:val="00B852BC"/>
    <w:rsid w:val="00B8599D"/>
    <w:rsid w:val="00B879D0"/>
    <w:rsid w:val="00BA485C"/>
    <w:rsid w:val="00BC11A3"/>
    <w:rsid w:val="00BD1121"/>
    <w:rsid w:val="00BE4931"/>
    <w:rsid w:val="00BF3FF5"/>
    <w:rsid w:val="00C15077"/>
    <w:rsid w:val="00C312B8"/>
    <w:rsid w:val="00CD6348"/>
    <w:rsid w:val="00CF68F6"/>
    <w:rsid w:val="00CF6B9A"/>
    <w:rsid w:val="00D03F78"/>
    <w:rsid w:val="00D2578D"/>
    <w:rsid w:val="00D25A14"/>
    <w:rsid w:val="00D276C3"/>
    <w:rsid w:val="00D319BD"/>
    <w:rsid w:val="00D61859"/>
    <w:rsid w:val="00D65025"/>
    <w:rsid w:val="00D652CC"/>
    <w:rsid w:val="00D81EAE"/>
    <w:rsid w:val="00D93A9C"/>
    <w:rsid w:val="00D96C97"/>
    <w:rsid w:val="00DA11FD"/>
    <w:rsid w:val="00DA13EA"/>
    <w:rsid w:val="00DD7497"/>
    <w:rsid w:val="00DE6DC4"/>
    <w:rsid w:val="00E2532A"/>
    <w:rsid w:val="00E51B58"/>
    <w:rsid w:val="00E53A4D"/>
    <w:rsid w:val="00E55419"/>
    <w:rsid w:val="00E6630C"/>
    <w:rsid w:val="00E66891"/>
    <w:rsid w:val="00EC62B3"/>
    <w:rsid w:val="00EC652E"/>
    <w:rsid w:val="00ED5FE9"/>
    <w:rsid w:val="00EE03F8"/>
    <w:rsid w:val="00EF460B"/>
    <w:rsid w:val="00EF4751"/>
    <w:rsid w:val="00EF4EE8"/>
    <w:rsid w:val="00EF5BD6"/>
    <w:rsid w:val="00F05611"/>
    <w:rsid w:val="00F110CA"/>
    <w:rsid w:val="00F336DC"/>
    <w:rsid w:val="00F4353D"/>
    <w:rsid w:val="00F62883"/>
    <w:rsid w:val="00F67C25"/>
    <w:rsid w:val="00F714DD"/>
    <w:rsid w:val="00F935C1"/>
    <w:rsid w:val="00FA1A56"/>
    <w:rsid w:val="00FB05B4"/>
    <w:rsid w:val="00FB1BEC"/>
    <w:rsid w:val="00FB3AA3"/>
    <w:rsid w:val="00FD157D"/>
    <w:rsid w:val="00FD2441"/>
    <w:rsid w:val="00FD6238"/>
    <w:rsid w:val="00FE1407"/>
    <w:rsid w:val="00FF0AFA"/>
    <w:rsid w:val="00FF2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54BBC"/>
  <w15:chartTrackingRefBased/>
  <w15:docId w15:val="{B851258F-D14D-4520-9811-2CB62C0E5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48A4"/>
  </w:style>
  <w:style w:type="paragraph" w:styleId="Heading1">
    <w:name w:val="heading 1"/>
    <w:basedOn w:val="Normal"/>
    <w:next w:val="Normal"/>
    <w:link w:val="Heading1Char"/>
    <w:uiPriority w:val="9"/>
    <w:qFormat/>
    <w:rsid w:val="003138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D12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A13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A13E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DA13E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9844FD"/>
    <w:pPr>
      <w:ind w:left="720"/>
      <w:contextualSpacing/>
    </w:pPr>
  </w:style>
  <w:style w:type="character" w:customStyle="1" w:styleId="Heading3Char">
    <w:name w:val="Heading 3 Char"/>
    <w:basedOn w:val="DefaultParagraphFont"/>
    <w:link w:val="Heading3"/>
    <w:uiPriority w:val="9"/>
    <w:semiHidden/>
    <w:rsid w:val="007D1208"/>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7D12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208"/>
  </w:style>
  <w:style w:type="paragraph" w:styleId="Footer">
    <w:name w:val="footer"/>
    <w:basedOn w:val="Normal"/>
    <w:link w:val="FooterChar"/>
    <w:uiPriority w:val="99"/>
    <w:unhideWhenUsed/>
    <w:rsid w:val="007D12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208"/>
  </w:style>
  <w:style w:type="paragraph" w:styleId="NoSpacing">
    <w:name w:val="No Spacing"/>
    <w:link w:val="NoSpacingChar"/>
    <w:uiPriority w:val="1"/>
    <w:qFormat/>
    <w:rsid w:val="00FF0AFA"/>
    <w:pPr>
      <w:spacing w:after="0" w:line="240" w:lineRule="auto"/>
    </w:pPr>
    <w:rPr>
      <w:rFonts w:eastAsiaTheme="minorEastAsia"/>
    </w:rPr>
  </w:style>
  <w:style w:type="character" w:customStyle="1" w:styleId="NoSpacingChar">
    <w:name w:val="No Spacing Char"/>
    <w:basedOn w:val="DefaultParagraphFont"/>
    <w:link w:val="NoSpacing"/>
    <w:uiPriority w:val="1"/>
    <w:rsid w:val="00FF0AFA"/>
    <w:rPr>
      <w:rFonts w:eastAsiaTheme="minorEastAsia"/>
    </w:rPr>
  </w:style>
  <w:style w:type="character" w:customStyle="1" w:styleId="markedcontent">
    <w:name w:val="markedcontent"/>
    <w:basedOn w:val="DefaultParagraphFont"/>
    <w:rsid w:val="0061331E"/>
  </w:style>
  <w:style w:type="character" w:styleId="Hyperlink">
    <w:name w:val="Hyperlink"/>
    <w:basedOn w:val="DefaultParagraphFont"/>
    <w:uiPriority w:val="99"/>
    <w:unhideWhenUsed/>
    <w:rsid w:val="0024099B"/>
    <w:rPr>
      <w:color w:val="0563C1" w:themeColor="hyperlink"/>
      <w:u w:val="single"/>
    </w:rPr>
  </w:style>
  <w:style w:type="character" w:styleId="UnresolvedMention">
    <w:name w:val="Unresolved Mention"/>
    <w:basedOn w:val="DefaultParagraphFont"/>
    <w:uiPriority w:val="99"/>
    <w:semiHidden/>
    <w:unhideWhenUsed/>
    <w:rsid w:val="0024099B"/>
    <w:rPr>
      <w:color w:val="605E5C"/>
      <w:shd w:val="clear" w:color="auto" w:fill="E1DFDD"/>
    </w:rPr>
  </w:style>
  <w:style w:type="character" w:customStyle="1" w:styleId="Heading1Char">
    <w:name w:val="Heading 1 Char"/>
    <w:basedOn w:val="DefaultParagraphFont"/>
    <w:link w:val="Heading1"/>
    <w:uiPriority w:val="9"/>
    <w:rsid w:val="003138D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138DB"/>
    <w:pPr>
      <w:outlineLvl w:val="9"/>
    </w:pPr>
  </w:style>
  <w:style w:type="paragraph" w:styleId="TOC2">
    <w:name w:val="toc 2"/>
    <w:basedOn w:val="Normal"/>
    <w:next w:val="Normal"/>
    <w:autoRedefine/>
    <w:uiPriority w:val="39"/>
    <w:unhideWhenUsed/>
    <w:rsid w:val="003138DB"/>
    <w:pPr>
      <w:spacing w:after="100"/>
      <w:ind w:left="220"/>
    </w:pPr>
    <w:rPr>
      <w:rFonts w:eastAsiaTheme="minorEastAsia" w:cs="Times New Roman"/>
    </w:rPr>
  </w:style>
  <w:style w:type="paragraph" w:styleId="TOC1">
    <w:name w:val="toc 1"/>
    <w:basedOn w:val="Normal"/>
    <w:next w:val="Normal"/>
    <w:autoRedefine/>
    <w:uiPriority w:val="39"/>
    <w:unhideWhenUsed/>
    <w:rsid w:val="003138DB"/>
    <w:pPr>
      <w:spacing w:after="100"/>
    </w:pPr>
    <w:rPr>
      <w:rFonts w:eastAsiaTheme="minorEastAsia" w:cs="Times New Roman"/>
    </w:rPr>
  </w:style>
  <w:style w:type="paragraph" w:styleId="TOC3">
    <w:name w:val="toc 3"/>
    <w:basedOn w:val="Normal"/>
    <w:next w:val="Normal"/>
    <w:autoRedefine/>
    <w:uiPriority w:val="39"/>
    <w:unhideWhenUsed/>
    <w:rsid w:val="003138DB"/>
    <w:pPr>
      <w:spacing w:after="100"/>
      <w:ind w:left="440"/>
    </w:pPr>
    <w:rPr>
      <w:rFonts w:eastAsiaTheme="minorEastAsia" w:cs="Times New Roman"/>
    </w:rPr>
  </w:style>
  <w:style w:type="paragraph" w:styleId="Bibliography">
    <w:name w:val="Bibliography"/>
    <w:basedOn w:val="Normal"/>
    <w:next w:val="Normal"/>
    <w:uiPriority w:val="37"/>
    <w:unhideWhenUsed/>
    <w:rsid w:val="00AF7D24"/>
  </w:style>
  <w:style w:type="character" w:styleId="Emphasis">
    <w:name w:val="Emphasis"/>
    <w:basedOn w:val="DefaultParagraphFont"/>
    <w:uiPriority w:val="20"/>
    <w:qFormat/>
    <w:rsid w:val="00431BAF"/>
    <w:rPr>
      <w:i/>
      <w:iCs/>
    </w:rPr>
  </w:style>
  <w:style w:type="paragraph" w:styleId="EndnoteText">
    <w:name w:val="endnote text"/>
    <w:basedOn w:val="Normal"/>
    <w:link w:val="EndnoteTextChar"/>
    <w:uiPriority w:val="99"/>
    <w:semiHidden/>
    <w:unhideWhenUsed/>
    <w:rsid w:val="0063037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30375"/>
    <w:rPr>
      <w:sz w:val="20"/>
      <w:szCs w:val="20"/>
    </w:rPr>
  </w:style>
  <w:style w:type="character" w:styleId="EndnoteReference">
    <w:name w:val="endnote reference"/>
    <w:basedOn w:val="DefaultParagraphFont"/>
    <w:uiPriority w:val="99"/>
    <w:semiHidden/>
    <w:unhideWhenUsed/>
    <w:rsid w:val="00630375"/>
    <w:rPr>
      <w:vertAlign w:val="superscript"/>
    </w:rPr>
  </w:style>
  <w:style w:type="character" w:styleId="FollowedHyperlink">
    <w:name w:val="FollowedHyperlink"/>
    <w:basedOn w:val="DefaultParagraphFont"/>
    <w:uiPriority w:val="99"/>
    <w:semiHidden/>
    <w:unhideWhenUsed/>
    <w:rsid w:val="004F65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62368">
      <w:bodyDiv w:val="1"/>
      <w:marLeft w:val="0"/>
      <w:marRight w:val="0"/>
      <w:marTop w:val="0"/>
      <w:marBottom w:val="0"/>
      <w:divBdr>
        <w:top w:val="none" w:sz="0" w:space="0" w:color="auto"/>
        <w:left w:val="none" w:sz="0" w:space="0" w:color="auto"/>
        <w:bottom w:val="none" w:sz="0" w:space="0" w:color="auto"/>
        <w:right w:val="none" w:sz="0" w:space="0" w:color="auto"/>
      </w:divBdr>
    </w:div>
    <w:div w:id="78412743">
      <w:bodyDiv w:val="1"/>
      <w:marLeft w:val="0"/>
      <w:marRight w:val="0"/>
      <w:marTop w:val="0"/>
      <w:marBottom w:val="0"/>
      <w:divBdr>
        <w:top w:val="none" w:sz="0" w:space="0" w:color="auto"/>
        <w:left w:val="none" w:sz="0" w:space="0" w:color="auto"/>
        <w:bottom w:val="none" w:sz="0" w:space="0" w:color="auto"/>
        <w:right w:val="none" w:sz="0" w:space="0" w:color="auto"/>
      </w:divBdr>
    </w:div>
    <w:div w:id="125902775">
      <w:bodyDiv w:val="1"/>
      <w:marLeft w:val="0"/>
      <w:marRight w:val="0"/>
      <w:marTop w:val="0"/>
      <w:marBottom w:val="0"/>
      <w:divBdr>
        <w:top w:val="none" w:sz="0" w:space="0" w:color="auto"/>
        <w:left w:val="none" w:sz="0" w:space="0" w:color="auto"/>
        <w:bottom w:val="none" w:sz="0" w:space="0" w:color="auto"/>
        <w:right w:val="none" w:sz="0" w:space="0" w:color="auto"/>
      </w:divBdr>
    </w:div>
    <w:div w:id="164319206">
      <w:bodyDiv w:val="1"/>
      <w:marLeft w:val="0"/>
      <w:marRight w:val="0"/>
      <w:marTop w:val="0"/>
      <w:marBottom w:val="0"/>
      <w:divBdr>
        <w:top w:val="none" w:sz="0" w:space="0" w:color="auto"/>
        <w:left w:val="none" w:sz="0" w:space="0" w:color="auto"/>
        <w:bottom w:val="none" w:sz="0" w:space="0" w:color="auto"/>
        <w:right w:val="none" w:sz="0" w:space="0" w:color="auto"/>
      </w:divBdr>
    </w:div>
    <w:div w:id="230236484">
      <w:bodyDiv w:val="1"/>
      <w:marLeft w:val="0"/>
      <w:marRight w:val="0"/>
      <w:marTop w:val="0"/>
      <w:marBottom w:val="0"/>
      <w:divBdr>
        <w:top w:val="none" w:sz="0" w:space="0" w:color="auto"/>
        <w:left w:val="none" w:sz="0" w:space="0" w:color="auto"/>
        <w:bottom w:val="none" w:sz="0" w:space="0" w:color="auto"/>
        <w:right w:val="none" w:sz="0" w:space="0" w:color="auto"/>
      </w:divBdr>
    </w:div>
    <w:div w:id="372002563">
      <w:bodyDiv w:val="1"/>
      <w:marLeft w:val="0"/>
      <w:marRight w:val="0"/>
      <w:marTop w:val="0"/>
      <w:marBottom w:val="0"/>
      <w:divBdr>
        <w:top w:val="none" w:sz="0" w:space="0" w:color="auto"/>
        <w:left w:val="none" w:sz="0" w:space="0" w:color="auto"/>
        <w:bottom w:val="none" w:sz="0" w:space="0" w:color="auto"/>
        <w:right w:val="none" w:sz="0" w:space="0" w:color="auto"/>
      </w:divBdr>
    </w:div>
    <w:div w:id="607934540">
      <w:bodyDiv w:val="1"/>
      <w:marLeft w:val="0"/>
      <w:marRight w:val="0"/>
      <w:marTop w:val="0"/>
      <w:marBottom w:val="0"/>
      <w:divBdr>
        <w:top w:val="none" w:sz="0" w:space="0" w:color="auto"/>
        <w:left w:val="none" w:sz="0" w:space="0" w:color="auto"/>
        <w:bottom w:val="none" w:sz="0" w:space="0" w:color="auto"/>
        <w:right w:val="none" w:sz="0" w:space="0" w:color="auto"/>
      </w:divBdr>
    </w:div>
    <w:div w:id="640888630">
      <w:bodyDiv w:val="1"/>
      <w:marLeft w:val="0"/>
      <w:marRight w:val="0"/>
      <w:marTop w:val="0"/>
      <w:marBottom w:val="0"/>
      <w:divBdr>
        <w:top w:val="none" w:sz="0" w:space="0" w:color="auto"/>
        <w:left w:val="none" w:sz="0" w:space="0" w:color="auto"/>
        <w:bottom w:val="none" w:sz="0" w:space="0" w:color="auto"/>
        <w:right w:val="none" w:sz="0" w:space="0" w:color="auto"/>
      </w:divBdr>
    </w:div>
    <w:div w:id="829370375">
      <w:bodyDiv w:val="1"/>
      <w:marLeft w:val="0"/>
      <w:marRight w:val="0"/>
      <w:marTop w:val="0"/>
      <w:marBottom w:val="0"/>
      <w:divBdr>
        <w:top w:val="none" w:sz="0" w:space="0" w:color="auto"/>
        <w:left w:val="none" w:sz="0" w:space="0" w:color="auto"/>
        <w:bottom w:val="none" w:sz="0" w:space="0" w:color="auto"/>
        <w:right w:val="none" w:sz="0" w:space="0" w:color="auto"/>
      </w:divBdr>
    </w:div>
    <w:div w:id="963081107">
      <w:bodyDiv w:val="1"/>
      <w:marLeft w:val="0"/>
      <w:marRight w:val="0"/>
      <w:marTop w:val="0"/>
      <w:marBottom w:val="0"/>
      <w:divBdr>
        <w:top w:val="none" w:sz="0" w:space="0" w:color="auto"/>
        <w:left w:val="none" w:sz="0" w:space="0" w:color="auto"/>
        <w:bottom w:val="none" w:sz="0" w:space="0" w:color="auto"/>
        <w:right w:val="none" w:sz="0" w:space="0" w:color="auto"/>
      </w:divBdr>
    </w:div>
    <w:div w:id="1049718674">
      <w:bodyDiv w:val="1"/>
      <w:marLeft w:val="0"/>
      <w:marRight w:val="0"/>
      <w:marTop w:val="0"/>
      <w:marBottom w:val="0"/>
      <w:divBdr>
        <w:top w:val="none" w:sz="0" w:space="0" w:color="auto"/>
        <w:left w:val="none" w:sz="0" w:space="0" w:color="auto"/>
        <w:bottom w:val="none" w:sz="0" w:space="0" w:color="auto"/>
        <w:right w:val="none" w:sz="0" w:space="0" w:color="auto"/>
      </w:divBdr>
    </w:div>
    <w:div w:id="1086197095">
      <w:bodyDiv w:val="1"/>
      <w:marLeft w:val="0"/>
      <w:marRight w:val="0"/>
      <w:marTop w:val="0"/>
      <w:marBottom w:val="0"/>
      <w:divBdr>
        <w:top w:val="none" w:sz="0" w:space="0" w:color="auto"/>
        <w:left w:val="none" w:sz="0" w:space="0" w:color="auto"/>
        <w:bottom w:val="none" w:sz="0" w:space="0" w:color="auto"/>
        <w:right w:val="none" w:sz="0" w:space="0" w:color="auto"/>
      </w:divBdr>
    </w:div>
    <w:div w:id="1254556437">
      <w:bodyDiv w:val="1"/>
      <w:marLeft w:val="0"/>
      <w:marRight w:val="0"/>
      <w:marTop w:val="0"/>
      <w:marBottom w:val="0"/>
      <w:divBdr>
        <w:top w:val="none" w:sz="0" w:space="0" w:color="auto"/>
        <w:left w:val="none" w:sz="0" w:space="0" w:color="auto"/>
        <w:bottom w:val="none" w:sz="0" w:space="0" w:color="auto"/>
        <w:right w:val="none" w:sz="0" w:space="0" w:color="auto"/>
      </w:divBdr>
    </w:div>
    <w:div w:id="1290478762">
      <w:bodyDiv w:val="1"/>
      <w:marLeft w:val="0"/>
      <w:marRight w:val="0"/>
      <w:marTop w:val="0"/>
      <w:marBottom w:val="0"/>
      <w:divBdr>
        <w:top w:val="none" w:sz="0" w:space="0" w:color="auto"/>
        <w:left w:val="none" w:sz="0" w:space="0" w:color="auto"/>
        <w:bottom w:val="none" w:sz="0" w:space="0" w:color="auto"/>
        <w:right w:val="none" w:sz="0" w:space="0" w:color="auto"/>
      </w:divBdr>
    </w:div>
    <w:div w:id="1380976374">
      <w:bodyDiv w:val="1"/>
      <w:marLeft w:val="0"/>
      <w:marRight w:val="0"/>
      <w:marTop w:val="0"/>
      <w:marBottom w:val="0"/>
      <w:divBdr>
        <w:top w:val="none" w:sz="0" w:space="0" w:color="auto"/>
        <w:left w:val="none" w:sz="0" w:space="0" w:color="auto"/>
        <w:bottom w:val="none" w:sz="0" w:space="0" w:color="auto"/>
        <w:right w:val="none" w:sz="0" w:space="0" w:color="auto"/>
      </w:divBdr>
    </w:div>
    <w:div w:id="1441876667">
      <w:bodyDiv w:val="1"/>
      <w:marLeft w:val="0"/>
      <w:marRight w:val="0"/>
      <w:marTop w:val="0"/>
      <w:marBottom w:val="0"/>
      <w:divBdr>
        <w:top w:val="none" w:sz="0" w:space="0" w:color="auto"/>
        <w:left w:val="none" w:sz="0" w:space="0" w:color="auto"/>
        <w:bottom w:val="none" w:sz="0" w:space="0" w:color="auto"/>
        <w:right w:val="none" w:sz="0" w:space="0" w:color="auto"/>
      </w:divBdr>
    </w:div>
    <w:div w:id="1475100717">
      <w:bodyDiv w:val="1"/>
      <w:marLeft w:val="0"/>
      <w:marRight w:val="0"/>
      <w:marTop w:val="0"/>
      <w:marBottom w:val="0"/>
      <w:divBdr>
        <w:top w:val="none" w:sz="0" w:space="0" w:color="auto"/>
        <w:left w:val="none" w:sz="0" w:space="0" w:color="auto"/>
        <w:bottom w:val="none" w:sz="0" w:space="0" w:color="auto"/>
        <w:right w:val="none" w:sz="0" w:space="0" w:color="auto"/>
      </w:divBdr>
    </w:div>
    <w:div w:id="1504592719">
      <w:bodyDiv w:val="1"/>
      <w:marLeft w:val="0"/>
      <w:marRight w:val="0"/>
      <w:marTop w:val="0"/>
      <w:marBottom w:val="0"/>
      <w:divBdr>
        <w:top w:val="none" w:sz="0" w:space="0" w:color="auto"/>
        <w:left w:val="none" w:sz="0" w:space="0" w:color="auto"/>
        <w:bottom w:val="none" w:sz="0" w:space="0" w:color="auto"/>
        <w:right w:val="none" w:sz="0" w:space="0" w:color="auto"/>
      </w:divBdr>
    </w:div>
    <w:div w:id="1619337030">
      <w:bodyDiv w:val="1"/>
      <w:marLeft w:val="0"/>
      <w:marRight w:val="0"/>
      <w:marTop w:val="0"/>
      <w:marBottom w:val="0"/>
      <w:divBdr>
        <w:top w:val="none" w:sz="0" w:space="0" w:color="auto"/>
        <w:left w:val="none" w:sz="0" w:space="0" w:color="auto"/>
        <w:bottom w:val="none" w:sz="0" w:space="0" w:color="auto"/>
        <w:right w:val="none" w:sz="0" w:space="0" w:color="auto"/>
      </w:divBdr>
    </w:div>
    <w:div w:id="1684933965">
      <w:bodyDiv w:val="1"/>
      <w:marLeft w:val="0"/>
      <w:marRight w:val="0"/>
      <w:marTop w:val="0"/>
      <w:marBottom w:val="0"/>
      <w:divBdr>
        <w:top w:val="none" w:sz="0" w:space="0" w:color="auto"/>
        <w:left w:val="none" w:sz="0" w:space="0" w:color="auto"/>
        <w:bottom w:val="none" w:sz="0" w:space="0" w:color="auto"/>
        <w:right w:val="none" w:sz="0" w:space="0" w:color="auto"/>
      </w:divBdr>
    </w:div>
    <w:div w:id="1704205751">
      <w:bodyDiv w:val="1"/>
      <w:marLeft w:val="0"/>
      <w:marRight w:val="0"/>
      <w:marTop w:val="0"/>
      <w:marBottom w:val="0"/>
      <w:divBdr>
        <w:top w:val="none" w:sz="0" w:space="0" w:color="auto"/>
        <w:left w:val="none" w:sz="0" w:space="0" w:color="auto"/>
        <w:bottom w:val="none" w:sz="0" w:space="0" w:color="auto"/>
        <w:right w:val="none" w:sz="0" w:space="0" w:color="auto"/>
      </w:divBdr>
    </w:div>
    <w:div w:id="1898978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andfonline.com/doi/full/10.1080/00207543.2019.1652777" TargetMode="External"/><Relationship Id="rId5" Type="http://schemas.openxmlformats.org/officeDocument/2006/relationships/webSettings" Target="webSettings.xml"/><Relationship Id="rId10" Type="http://schemas.openxmlformats.org/officeDocument/2006/relationships/hyperlink" Target="https://www.tandfonline.com/doi/full/10.1080/00207543.2019.1652777" TargetMode="External"/><Relationship Id="rId4" Type="http://schemas.openxmlformats.org/officeDocument/2006/relationships/settings" Target="settings.xml"/><Relationship Id="rId9" Type="http://schemas.openxmlformats.org/officeDocument/2006/relationships/hyperlink" Target="https://www.tandfonline.com/doi/full/10.1080/00207543.2019.1652777" TargetMode="External"/><Relationship Id="rId14" Type="http://schemas.openxmlformats.org/officeDocument/2006/relationships/theme" Target="theme/theme1.xml"/></Relationships>
</file>

<file path=word/_rels/endnotes.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xmlns:b="http://schemas.openxmlformats.org/officeDocument/2006/bibliography">
    <b:Tag>Nat21</b:Tag>
    <b:SourceType>Report</b:SourceType>
    <b:Guid>{1A73B133-1B77-4F0D-AA1B-3A5838CBE2F1}</b:Guid>
    <b:Title>Climate Change and International Responses Increasing Challenges to US National Security Through 2040</b:Title>
    <b:Year>2021</b:Year>
    <b:Author>
      <b:Author>
        <b:NameList>
          <b:Person>
            <b:Last>Council</b:Last>
            <b:First>National</b:First>
            <b:Middle>Intelligence</b:Middle>
          </b:Person>
        </b:NameList>
      </b:Author>
    </b:Author>
    <b:RefOrder>1</b:RefOrder>
  </b:Source>
  <b:Source>
    <b:Tag>Bab22</b:Tag>
    <b:SourceType>Report</b:SourceType>
    <b:Guid>{1A3EF3DA-75D3-46E9-A28C-DEFF576C26B7}</b:Guid>
    <b:Author>
      <b:Author>
        <b:Corporate>Babcock International Group</b:Corporate>
      </b:Author>
    </b:Author>
    <b:Title>Annual Report and Financial Statements</b:Title>
    <b:Year>2022</b:Year>
    <b:Publisher>Babcock International Group</b:Publisher>
    <b:City>London</b:City>
    <b:RefOrder>2</b:RefOrder>
  </b:Source>
  <b:Source>
    <b:Tag>Dun06</b:Tag>
    <b:SourceType>JournalArticle</b:SourceType>
    <b:Guid>{79DED7B6-1E98-4873-BAFD-A52B5809BD15}</b:Guid>
    <b:Title>Enabling Change for Corporate Sustainability: An Integrated Perspective</b:Title>
    <b:Year>2006</b:Year>
    <b:Author>
      <b:Author>
        <b:NameList>
          <b:Person>
            <b:Last>Dunphy</b:Last>
            <b:First>D.,</b:First>
            <b:Middle>Benn, S. and Griffiths, A.</b:Middle>
          </b:Person>
        </b:NameList>
      </b:Author>
    </b:Author>
    <b:JournalName>Australasian Journal of Environmental Management</b:JournalName>
    <b:Pages>156-165</b:Pages>
    <b:Volume>13</b:Volume>
    <b:Issue>3</b:Issue>
    <b:RefOrder>3</b:RefOrder>
  </b:Source>
</b:Sources>
</file>

<file path=customXml/itemProps1.xml><?xml version="1.0" encoding="utf-8"?>
<ds:datastoreItem xmlns:ds="http://schemas.openxmlformats.org/officeDocument/2006/customXml" ds:itemID="{F730336A-6BE0-4806-8AD5-B53BEF1F6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19413</TotalTime>
  <Pages>8</Pages>
  <Words>2775</Words>
  <Characters>15824</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ME 50361: Individual Assignment</vt:lpstr>
    </vt:vector>
  </TitlesOfParts>
  <Company>Sadiq Tijjani Umar</Company>
  <LinksUpToDate>false</LinksUpToDate>
  <CharactersWithSpaces>18562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 50361: Individual Assignment</dc:title>
  <dc:subject>Babcock Group Sustainability Report</dc:subject>
  <dc:creator>Sadiq Tijjani Umar</dc:creator>
  <cp:keywords/>
  <dc:description/>
  <cp:lastModifiedBy>Sadiq Umar</cp:lastModifiedBy>
  <cp:revision>51</cp:revision>
  <dcterms:created xsi:type="dcterms:W3CDTF">2022-11-20T21:03:00Z</dcterms:created>
  <dcterms:modified xsi:type="dcterms:W3CDTF">2022-12-13T12:46:00Z</dcterms:modified>
  <cp:category>University Of Bath</cp:category>
</cp:coreProperties>
</file>