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5B4" w:rsidRPr="004745B4" w:rsidRDefault="004745B4" w:rsidP="004745B4">
      <w:pPr>
        <w:shd w:val="clear" w:color="auto" w:fill="FFFFFF"/>
        <w:spacing w:after="300" w:line="360" w:lineRule="atLeast"/>
        <w:outlineLvl w:val="0"/>
        <w:rPr>
          <w:rFonts w:ascii="Arial" w:eastAsia="Times New Roman" w:hAnsi="Arial" w:cs="Arial"/>
          <w:color w:val="000000"/>
          <w:spacing w:val="-15"/>
          <w:kern w:val="36"/>
          <w:sz w:val="30"/>
          <w:szCs w:val="30"/>
          <w:lang w:val="ru-RU"/>
        </w:rPr>
      </w:pPr>
      <w:r w:rsidRPr="004745B4">
        <w:rPr>
          <w:rFonts w:ascii="Arial" w:eastAsia="Times New Roman" w:hAnsi="Arial" w:cs="Arial"/>
          <w:color w:val="000000"/>
          <w:spacing w:val="-15"/>
          <w:kern w:val="36"/>
          <w:sz w:val="30"/>
          <w:szCs w:val="30"/>
          <w:lang w:val="ru-RU"/>
        </w:rPr>
        <w:t>Отчет начальника ОМВД России по району Вешняки</w:t>
      </w:r>
    </w:p>
    <w:p w:rsidR="004745B4" w:rsidRPr="004745B4" w:rsidRDefault="004745B4" w:rsidP="004745B4">
      <w:pPr>
        <w:shd w:val="clear" w:color="auto" w:fill="FFFFFF"/>
        <w:spacing w:after="300" w:line="450" w:lineRule="atLeast"/>
        <w:jc w:val="both"/>
        <w:outlineLvl w:val="0"/>
        <w:rPr>
          <w:rFonts w:ascii="Arial" w:eastAsia="Times New Roman" w:hAnsi="Arial" w:cs="Arial"/>
          <w:color w:val="000000"/>
          <w:spacing w:val="-15"/>
          <w:kern w:val="36"/>
          <w:sz w:val="36"/>
          <w:szCs w:val="36"/>
          <w:lang w:val="ru-RU"/>
        </w:rPr>
      </w:pPr>
      <w:r w:rsidRPr="004745B4">
        <w:rPr>
          <w:rFonts w:ascii="Arial" w:eastAsia="Times New Roman" w:hAnsi="Arial" w:cs="Arial"/>
          <w:color w:val="000000"/>
          <w:spacing w:val="-15"/>
          <w:kern w:val="36"/>
          <w:sz w:val="36"/>
          <w:szCs w:val="36"/>
          <w:lang w:val="ru-RU"/>
        </w:rPr>
        <w:t>Информационно-аналитическая записка «О результатах оперативно-служебной деятельности ОМВД России по району Вешняки г. Москвы за 12 месяцев 2014 года»</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b/>
          <w:bCs/>
          <w:color w:val="000000"/>
          <w:u w:val="single"/>
          <w:lang w:val="ru-RU"/>
        </w:rPr>
        <w:t>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b/>
          <w:bCs/>
          <w:color w:val="000000"/>
          <w:u w:val="single"/>
          <w:lang w:val="ru-RU"/>
        </w:rPr>
        <w:t>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b/>
          <w:bCs/>
          <w:color w:val="000000"/>
          <w:u w:val="single"/>
          <w:lang w:val="ru-RU"/>
        </w:rPr>
        <w:t>СОЦИАЛЬНО-ДЕМОГРАФИЧЕСКАЯ И ЭКОНОМИЧЕСКАЯ  ХАРАКТЕРИСТИКА ОТДЕЛА МВД РОССИИ ПО РАЙОНУ ВЕШНЯКИ</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b/>
          <w:bCs/>
          <w:color w:val="000000"/>
          <w:lang w:val="ru-RU"/>
        </w:rPr>
        <w:t>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Район Вешняки расположен в восточной части Восточного административного округа г. Москвы и находится на границе с Юго-Восточным административным округом. Местность равнинная. Кроме того, район Вешняки граничит с районами: Косино-Ухтомский, Новокосино, Ивановское, Новогиреево. Численность населения 115100 (чел.) количество жилых домов 205, подъездов 959, количество квартир 39961, чердаков 76, подвалов 201, количество улиц 19, общей протяженностью 26 км.</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b/>
          <w:bCs/>
          <w:color w:val="000000"/>
          <w:u w:val="single"/>
          <w:lang w:val="ru-RU"/>
        </w:rPr>
        <w:t>ХАРАКТЕРИСТИКА КРИМИНАЛЬНОЙ ОБСТАНОВКИ НА ТЕРРИТОРИИ РАЙОНА</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Анализ итогов оперативно-служебной деятельности за прошедший период текущего года показывает, что в отчетном периоде основные усилия всех служб Отдела МВД России по району Вешняки г. Москвы были направлены на выполнение приоритетных задач, определенных решениями коллегий МВД, ГУ МВД и УВД по ВАО г. Москвы, требованиями Директивы Министра внутренних дел Российской Федерации от 12 ноября 2013 года № 2дсп.</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Отдел МВД России по району Вешняки г. Москвы,  является Отделом первой категории,  работает в условиях сложной оперативной обстановки, осуществляет комплекс мер по усилению борьбы с преступностью, обеспечению правопорядка и общественной безопасности, по предотвращению возможных фактов терроризма и экстремизма.</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xml:space="preserve">Одним из основных направлений оперативно-служебной деятельности является совершенствование управленческой деятельности. Особое значение при этом уделяется анализу состояния оперативной обстановки и результатов деятельности Отдела, выработке на основе данного анализа своевременных </w:t>
      </w:r>
      <w:r w:rsidRPr="004745B4">
        <w:rPr>
          <w:rFonts w:ascii="Arial" w:hAnsi="Arial" w:cs="Arial"/>
          <w:color w:val="000000"/>
          <w:lang w:val="ru-RU"/>
        </w:rPr>
        <w:lastRenderedPageBreak/>
        <w:t>управленческих решений, планированию мероприятий по их осуществлению и организации контроля за их выполнением.</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За 12 месяцев 2014 года  уровень преступности общеуголовной направленности вырос  на 139  преступлений  и составил 1827/1688 (8.2%), однако направлено в суд на 57 преступлений больше чем в прошлом году, и составило 525 на 468 преступлений (12,2%).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За 12 месяцев 2014 года  общее количество приостановленных уголовных дел по ст.208 УПК РФ п.1-3 уменьшилось и составило 1225/1245 – 20 (1.6%).</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За истекший период  текущего года произошел рост ряда видов преступлений, а именно:</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кражи: 951/867 +84(+9.7%), направлено в суд 187/136 +51(+37.5%), в том числе автомобилей с 95 до 101 в 2014 году на 6 единиц. В суд направлено 9/5.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мошенничество 166/133 +33(+24.8%), направлено в суд 8/4;</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неправомерное завладение автотранспортным средством – 18/17 +1(+5.9%);</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преступления связанные с наркотиками 238/215 +23(+10.7%), однако и раскрываемость данных преступлений возросла 112/98 +14(+14.31%);</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сбыт наркотических средств 144/119, направлено в суд сбытов 24/9 +15 (+166.7%).</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За указанный период 2014 года было проведено ряд оперативно-профилактических мероприятий (автомобиль, безопасный дом, подъезд, квартира и т.д.),  в результате чего удалось снизить общее количество зарегистрированных преступлений по таким видам как:</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квартирные кражи с 78 до 66,  на 12 преступлений (15.4%), направлено в суд 21/5, + 16(+320%);</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разбои с 27 до 6, на 21 преступление (80%), направлено в суд 9/13;</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умышленное причинение тяжкого вреда здоровью: 7/13- 46%, направлено в суд 3/3;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грабежи с 125 до 89, на 36 преступлений (29%), направлено в суд 22/39 -15(-38.5%);</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убийство 5/7, раскрыто 3/6;</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хранение оружия 14/17 - 3(-17,6%),  направлено в суд 9/10.</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u w:val="single"/>
          <w:lang w:val="ru-RU"/>
        </w:rPr>
        <w:t>произошло увеличение</w:t>
      </w:r>
      <w:r w:rsidRPr="004745B4">
        <w:rPr>
          <w:rFonts w:ascii="Arial" w:hAnsi="Arial" w:cs="Arial"/>
          <w:color w:val="000000"/>
          <w:lang w:val="ru-RU"/>
        </w:rPr>
        <w:t>:</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преступлений небольшой и средней тяжести с 1213 до 1377 преступлений на 164, однако уменьшилось количество тяжких и особо тяжких видов преступлений с 475 до 450 на 25 преступлений при раскрываемости 144/105 ( на 39 преступлений);</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Так же произошло увеличение преступлений  совершенных в на улицах 955/671 +284(+42.3%),  направлено в суд 208/175 +36 (+17.1%);</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в общественных местах 1257/841 +416 (+49.5%); направлено в суд 247/211+36 (+17.1%).</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Сотрудниками полиции за 12 месяцев 2014 года на территории района Вешняки было раскрыто  598 преступлений.</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Оперуполномоченными –  209 преступление  + 69 преступлений.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Участковыми – 191 преступление.</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Сотрудниками ОР ППСП – 64.</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В ОМВД России по району Вешняки г. Москвы за 12 месяцев 2014 года составлено 1.959  административных материала (в 2013 г. – 3.043), наложено административных штрафов на общую сумму 1.673.036 рублей, взыскано административных штрафов на общую сумму 872.000 рублей. Общий процент взыскиваемости 52 %.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b/>
          <w:bCs/>
          <w:color w:val="000000"/>
          <w:lang w:val="ru-RU"/>
        </w:rPr>
        <w:t>УУП </w:t>
      </w:r>
      <w:r w:rsidRPr="004745B4">
        <w:rPr>
          <w:rFonts w:ascii="Arial" w:hAnsi="Arial" w:cs="Arial"/>
          <w:color w:val="000000"/>
          <w:lang w:val="ru-RU"/>
        </w:rPr>
        <w:t>– </w:t>
      </w:r>
      <w:r w:rsidRPr="004745B4">
        <w:rPr>
          <w:rFonts w:ascii="Arial" w:hAnsi="Arial" w:cs="Arial"/>
          <w:b/>
          <w:bCs/>
          <w:color w:val="000000"/>
          <w:lang w:val="ru-RU"/>
        </w:rPr>
        <w:t>777</w:t>
      </w:r>
      <w:r w:rsidRPr="004745B4">
        <w:rPr>
          <w:rFonts w:ascii="Arial" w:hAnsi="Arial" w:cs="Arial"/>
          <w:color w:val="000000"/>
          <w:lang w:val="ru-RU"/>
        </w:rPr>
        <w:t> адм. прот. (в 2013 г.- 1.693 адм. прот.).</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(наложено 577.336 руб., взыскано 221.00 руб.), взыскиваемость – 38%.</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b/>
          <w:bCs/>
          <w:color w:val="000000"/>
          <w:lang w:val="ru-RU"/>
        </w:rPr>
        <w:t>ГЛРР</w:t>
      </w:r>
      <w:r w:rsidRPr="004745B4">
        <w:rPr>
          <w:rFonts w:ascii="Arial" w:hAnsi="Arial" w:cs="Arial"/>
          <w:color w:val="000000"/>
          <w:lang w:val="ru-RU"/>
        </w:rPr>
        <w:t>- </w:t>
      </w:r>
      <w:r w:rsidRPr="004745B4">
        <w:rPr>
          <w:rFonts w:ascii="Arial" w:hAnsi="Arial" w:cs="Arial"/>
          <w:b/>
          <w:bCs/>
          <w:color w:val="000000"/>
          <w:lang w:val="ru-RU"/>
        </w:rPr>
        <w:t>139</w:t>
      </w:r>
      <w:r w:rsidRPr="004745B4">
        <w:rPr>
          <w:rFonts w:ascii="Arial" w:hAnsi="Arial" w:cs="Arial"/>
          <w:color w:val="000000"/>
          <w:lang w:val="ru-RU"/>
        </w:rPr>
        <w:t> адм. прот.</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(наложено 50.000 руб. взыскано 39.500 руб. ), взыскиваемость- 79%.</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b/>
          <w:bCs/>
          <w:color w:val="000000"/>
          <w:lang w:val="ru-RU"/>
        </w:rPr>
        <w:t>ПДН</w:t>
      </w:r>
      <w:r w:rsidRPr="004745B4">
        <w:rPr>
          <w:rFonts w:ascii="Arial" w:hAnsi="Arial" w:cs="Arial"/>
          <w:color w:val="000000"/>
          <w:lang w:val="ru-RU"/>
        </w:rPr>
        <w:t>- </w:t>
      </w:r>
      <w:r w:rsidRPr="004745B4">
        <w:rPr>
          <w:rFonts w:ascii="Arial" w:hAnsi="Arial" w:cs="Arial"/>
          <w:b/>
          <w:bCs/>
          <w:color w:val="000000"/>
          <w:lang w:val="ru-RU"/>
        </w:rPr>
        <w:t>94</w:t>
      </w:r>
      <w:r w:rsidRPr="004745B4">
        <w:rPr>
          <w:rFonts w:ascii="Arial" w:hAnsi="Arial" w:cs="Arial"/>
          <w:color w:val="000000"/>
          <w:lang w:val="ru-RU"/>
        </w:rPr>
        <w:t> адм. прот.</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(наложено – 436.100 руб., взыскано – 310.600 руб., взыскакемость-  71%)</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b/>
          <w:bCs/>
          <w:color w:val="000000"/>
          <w:lang w:val="ru-RU"/>
        </w:rPr>
        <w:t>РОТА ППСП - 713</w:t>
      </w:r>
      <w:r w:rsidRPr="004745B4">
        <w:rPr>
          <w:rFonts w:ascii="Arial" w:hAnsi="Arial" w:cs="Arial"/>
          <w:color w:val="000000"/>
          <w:lang w:val="ru-RU"/>
        </w:rPr>
        <w:t> адм. прот.</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(наложено 265.900 руб., взыскано 192.900 руб., взыскиваемость – 53 %.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Направлено судебным приставам 232 материала, из них получено 179 ответов, а именно: в 116-ти материалах у должника отсутствует имущество, в 4-х материалах местонахождение должника неизвестно, 49  постановлений об окончании исполнительного производства (взыскан штраф в размере 28500 руб.), 10 постановлений о возбуждении исполнительного производства.</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По ст. 20.25 КРФобАП (уклонение от уплаты штрафа) составлено 10 прот. (по решению суда в 5-ти протоколах адм. арест сутки, в 5-ти прот. наложен штраф на общую сумму 6.000 руб, штраф не взыскан)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Направлено адм. материалов в УФМС России по г. Москве – 213 (запретов на въезд).</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b/>
          <w:bCs/>
          <w:color w:val="000000"/>
          <w:u w:val="single"/>
          <w:lang w:val="ru-RU"/>
        </w:rPr>
        <w:t>РЕЗУЛЬТАТЫ РАБОТЫ ОТДЕЛЕНИЯ ДОЗНАНИЯ</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b/>
          <w:bCs/>
          <w:color w:val="000000"/>
          <w:u w:val="single"/>
          <w:lang w:val="ru-RU"/>
        </w:rPr>
        <w:t>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В течение отчетного периода дознавателями:</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принято к производству 914 уголовных дел;</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отменено постановлений о возбуждении уголовных дел – 3;</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направлено в суд 143 уголовных дел и 163 дополнительных эпизодов;</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окончено производством – 149 уголовных дела;</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по преступлениям – 312 преступления;</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расследовано в срок свыше УПК уголовных дел – 25 – из них 17 возобновлены из ранее приостановленных;</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направлено на доследование уголовных дел - 1;</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прекращено уголовных дел – 6;</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по основаниям, предусмотренным п.п. 1-4 ч. 1 ст. 208 УПК РФ приостановлено 602 уголовных дела;</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За отчетный период дознавателями вынесено 262 постановлений об отказе в возбуждении уголовного дела.</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b/>
          <w:bCs/>
          <w:color w:val="000000"/>
          <w:lang w:val="ru-RU"/>
        </w:rPr>
        <w:t>Задачи на предстоящий период:</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b/>
          <w:bCs/>
          <w:color w:val="000000"/>
          <w:lang w:val="ru-RU"/>
        </w:rPr>
        <w:t>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Основным направлением службы дознания на  2015 год является не только количество уголовных дел, направленных в суд по сравнению с аналогичным периодом прошлого года, но и их качественное расследование.</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Дознавателям, в целях обеспечения качества расследования и своевременности окончания уголовных дел с обвинительным актом: организовывать планирование следственных действий по каждому уголовному делу, своевременно давать конкретные отдельные поручения по сопровождению уголовных дел и осуществлять контроль за их выполнением.</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Обязать сотрудников по оперативной работе и УУП, выявляющих и раскрывающих преступления, осуществлять оперативное сопровождение каждого уголовного дела. Исключить из практики формальные ответы на поручения дознавателей. Качественно и в срок исполнять оперативные мероприятия, указанные в отдельных поручениях.</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b/>
          <w:bCs/>
          <w:color w:val="000000"/>
          <w:lang w:val="ru-RU"/>
        </w:rPr>
        <w:t>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b/>
          <w:bCs/>
          <w:color w:val="000000"/>
          <w:u w:val="single"/>
          <w:lang w:val="ru-RU"/>
        </w:rPr>
        <w:t>РЕЗУЛЬТАТЫ РАБОТЫ СО</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По итогам работы за 2014 год следственное отделение ОМВД России по району Вешняки г. Москвы показало следующие результаты:</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Среди положительных критериев оценки следственного отделения следует отметить следующее:</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1.  Приостановлено по п. 1,2,3 ч. 1 ст. 208 УПК РФ меньше уголовных дел, а именно – 689 уголовных дел, в 2013 году – 758, т.е. на 69 уголовных дел меньше.</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2.    За смертью прекращено 1 уголовное дело в отношении Варга М.А. по подозрению последнего в совершении преступления, предусмотренного ст. 228 ч. 2 УК РФ, что не является негативным показателем.</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3.   В суд направлено 128 уголовных дел, в 2013 году – 107 уголовных дел, то есть на 21 уголовных дел больше.</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Среди отрицательных критериев оценки следственного отделения следует отметить следующее:</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1. Количество уголовных дел, расследованных с превышением установленного срока -35, в 2013 году - 10.</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Всего за отчетный период было возбуждено 685 уголовных дел.</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В порядке ст. 91 УПК РФ за отчетный период задержано 75 человек.</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В производстве находится 175 уголовных дел, из которых 27 уголовных дел в отношении конкретных лиц.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b/>
          <w:bCs/>
          <w:color w:val="000000"/>
          <w:lang w:val="ru-RU"/>
        </w:rPr>
        <w:t>Задачи на предстоящий период:</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В 2015 году необходимо сосредоточить усилия по повышению результативности раскрытия и расследования тяжких и особо тяжких преступлений, сокращению остатка нераскрытых преступлений, снижению сроков следствия, улучшению качества следствия и законности, совершенствованию деятельности по расследованию преступлений, совершенных организованными преступными группами, преступными сообществами, обеспечению необходимого уровня влияния на подчиненные органы предварительного следствия путем повышения качества подготовки управленческих решений, совершенствования аналитической работы, оказанию практической и методической помощи; осуществлению мер по активизации взаимодействия органов предварительного следствия, оперативных и экспертно-криминалистических подразделений в целях повышения результативности раскрытия и расследования преступлений, по которым не установлены лица, подлежащие привлечению в качестве обвиняемого; обеспечить в пределах компетенции надлежащего расследования экстремистских проявлений, преступлений террористической направленности; разработке и реализации комплекса мер по стабилизации кадрового состава органов предварительного следствия, повышению уровня профессиональной подготовки следователей.</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w:t>
      </w:r>
      <w:r w:rsidRPr="004745B4">
        <w:rPr>
          <w:rFonts w:ascii="Arial" w:hAnsi="Arial" w:cs="Arial"/>
          <w:b/>
          <w:bCs/>
          <w:color w:val="000000"/>
          <w:u w:val="single"/>
          <w:lang w:val="ru-RU"/>
        </w:rPr>
        <w:t>РЕЗУЛЬТАТЫ РАБОТЫ ОУР</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b/>
          <w:bCs/>
          <w:color w:val="000000"/>
          <w:u w:val="single"/>
          <w:lang w:val="ru-RU"/>
        </w:rPr>
        <w:t>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За 12 месяцев 2014 года сотрудниками ОУР установлено лиц по совершенным преступлениям 209, за аналогичный период прошлого года - 140. Рост раскрываемости сотрудниками ОУР в 2014 году составил +69 преступлений (+49,3%).</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За истекший период 2014 года сотрудниками ОУР проводились мероприятия, направленные на предупреждение, пресечение и раскрытие преступлений, связанных с совершением грабежей и разбойных нападений, краж автотранспортных средств.</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С целью увеличения раскрываемости тяжких преступлений в сотрудниками ОУР полиции ОМВД РФ по району Вешняки осуществлялось физическое перекрытие мест, наиболее подверженных совершению данного вида преступлений и криминогенных мест на территории ОМВД, а именно Платформа Новогиреево, ул. Кетчерская д.  выходы из метро Выхино, прилегающая к метро Выхино территория (Красный Казанец, вл.20, Вешняковская ул. д.28/21 к.1, Вешняковская ул. д.44 к.1).</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Сотрудниками ОУР проводилась работа по выявлению лиц, причастных к совершению террористических актов и экстремистских акций. В ОУР ОМВД заведено делопроизводство «По противодействию экстремизму».</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В ходе проведенных мероприятий ОМВД за 12 месяцев 2014 года лиц, являющихся членами и лидерами НМО экстремистской направленности, а также лиц, причастных к совершению террористических актов не выявлено. С целью выявления лиц, находящихся в розыске, совместно с ОУУП,  регулярно проводятся мероприятия в жилом секторе, проводится отработка квартир-притонов, мест проживания разыскиваемых, проводятся ОРМ направленные на установление местонахождения лиц, находящихся в розыске.</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Преобладающее количество совершенных преступлений, связанных с хищениями автотранспортных средств, являются квалифицированными преступлениями и совершаются хорошо организованными преступными группами.</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Положительная динамика в профилактике совершения данных видов преступлений наблюдается в процессе проведения локальных оперативно-профилактических мероприятий «Автомобиль», в ходе которых количество совершенных краж автотранспортных средств значительно снижается, однако характерные задержания лиц, подозреваемых в совершении данных видов преступлений по прежнему остается на низком уровне.</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С целью стабилизации оперативной обстановки по линии борьбы с кражами автотранспортных средств, запланировано дальнейшее проведение локальных оперативно-профилактических операций «Автомобиль», будет продолжено проведение гласных и негласных мероприятий по проверке лиц, ранее судимых за совершение данных видов преступлений. С целью розыска похищенного автотранспорта, а также установления мест его возможного отстоя и разукомплектации будет продолжено проведение мероприятий по проверке ГСК, автостоянок, автосервисов, расположенных на территории ОМВД.</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Исходя из сложившейся оперативной обстановки за 2014 год в первом квартале 2015 года целесообразно активизировать разъяснительную работу среди населения с целью профилактики преступлений, предусмотренных ст. 159 УК РФ.</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Продолжить проведение локальных мероприятий «Автомобиль» с целью предупреждения и пресечения хищений автотранспортных средств. Наладить взаимодействие с прилегающими к ОМВД по району Вешняки г. Москвы подразделениями УВД по ЮВАО по взаимодействию с целью более качественного перекрытия мест возможного перегона автотранспортных средств с территории УВД по ВАО.</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Продолжить проведение профилактических мероприятий в наиболее криминогенных местах на территории ОМВД, а также в местах массового скопления граждан, с целью профилактики совершения преступлений в общественных местах.</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b/>
          <w:bCs/>
          <w:color w:val="000000"/>
          <w:u w:val="single"/>
          <w:lang w:val="ru-RU"/>
        </w:rPr>
        <w:t> РЕЗУЛЬТАТЫ РАБОТЫ ГДН</w:t>
      </w:r>
      <w:r w:rsidRPr="004745B4">
        <w:rPr>
          <w:rFonts w:ascii="Arial" w:hAnsi="Arial" w:cs="Arial"/>
          <w:color w:val="000000"/>
          <w:u w:val="single"/>
          <w:lang w:val="ru-RU"/>
        </w:rPr>
        <w:t>:</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За двенадцать месяцев 2014 года выявлено и поставлено на профилактический учет за совершение различных правонарушений –78/45.</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Составлено 92/86 административных протоколов за совершение различных правонарушений, предусмотренных КРФ АП:</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на несовершеннолетних составлено административных протоколов -35/26</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административных протоколов по ст.6.10 КРФ АП вовлечение несовершеннолетних  в употребление пива и напитков на его основе, спиртных напитков или одурманивающих веществ составлено -  4/1</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административных протоколов на родителей составлено – 44/52</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административных протоколов по ст. 14.16 КРФ АП нарушение правил продажи этилового спирта, алкогольной и спиртосодержащей продукции, а также пива и напитков, изготовляемых на его основе составлено – 15/9</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В настоящее время на профилактическом учете состоит - 29/31 родителей.</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За двенадцать месяцев 2014 года на профилактический учет в ГДН поставлено 25/28 родителя.</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Всего в ГДН ОМВД России по району Вешняки доставлено 124/116 несовершеннолетних за совершение различных правонарушений.</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Доставлено сотрудниками:</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ГДН – 18/32</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УУП 19/7</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ППСП, ГНР – 48/40</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УР – 18/18</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ОБ ППСП – 7/4</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Др. службы –14/16</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В дежурную часть ОМВД России по району Вешняки г. Москвы доставлено несовершеннолетних:</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за бродяжничество – 39/41</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административное правонарушение – 57/42</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направлено в медицинские учреждения – 24/17</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в ЦВСНП ГУ МВД России по г. Москве – 6/6</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подозреваемых в совершении преступления – 28/27</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За двенадцать месяцев 2014 года было проведено 17 оперативно – профилактических операций «Подросток».</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В данной операции принимали участия:</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ГДН – 21</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УУП – 32</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ППСП – 68</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ОУР – 19</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КДН и ЗП – 28</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Образование - 6</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Здравоохранения – 3</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Соц. защита –6</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Опека и попечительства –11</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УУИ – 5</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В ходе операции было доставлено – 42 несовершеннолетних</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в состоянии алкогольного опьянения – 3</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в состоянии наркотического или токсического опьянения – 3</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за занятием бродяжничеством – 13</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за прочие правонарушения - 22</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Сотрудниками ГДН ОМВД по району Вешняки г. Москвы было раскрыто 2 преступления (ст. 151 ч.1 УК РФ, ст. 115 УК РФ)</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b/>
          <w:bCs/>
          <w:color w:val="000000"/>
          <w:u w:val="single"/>
          <w:lang w:val="ru-RU"/>
        </w:rPr>
        <w:t>РЕЗУЛЬТАТЫ РАБОТЫ ОУУП</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b/>
          <w:bCs/>
          <w:color w:val="000000"/>
          <w:u w:val="single"/>
          <w:lang w:val="ru-RU"/>
        </w:rPr>
        <w:t>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На территории района Вешняки созданы и функционируют 8 участковых пунктов полиции.</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Штат службы отделения участковых уполномоченных полиции ОМВД по району Вешняки  составляет – 27 единиц, в т.ч. начальник ОУУП и заместитель начальника ОУУП.</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Участковыми раскрыто 191 преступление.</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Удельный вес участия службы УУП в раскрытии преступлений составил – 45 %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УУП составили – 777 адм. прот. (в 2013 г.- 1.693 адм. прот.)</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b/>
          <w:bCs/>
          <w:color w:val="000000"/>
          <w:u w:val="single"/>
          <w:lang w:val="ru-RU"/>
        </w:rPr>
        <w:t>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b/>
          <w:bCs/>
          <w:color w:val="000000"/>
          <w:u w:val="single"/>
          <w:lang w:val="ru-RU"/>
        </w:rPr>
        <w:t>РЕЗУЛЬТАТЫ РАБОТЫ ОР ППСП</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За 12 месяцев 2014 года сотрудниками ОР ППСП по АСУ патруль было проверено 8606 автомашин.</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Службой ППСП отдела по предотвращению краж автотранспорта проводится следующая работа:</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при несении службы нарядами ППСП особое внимание уделяется проверки в ночное время дворовой территории, а так же мест массовых стоянок автомобилей.</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проверка автотранспорта выезжающих из дворовых территорий в ночные и утренние часы.- по возможности перекрываются выезды автотранспорта в другие прилегающие районы.</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наряды, задействованные в единой дислокации, приближены к местам наиболее вероятного совершения преступления.</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Так же за различные административные правонарушения сотрудниками ОР ППСП за 12 месяцев 2014 года было составлено – 713  материала об административном правонарушении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За 12 месяцев 2014 года  ОР ППСП ОМВД по району Вешняки г. Москвы раскрыто 64преступления. Указанный результат оперативно-служебной деятельности является девятым в округе.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Все указанные преступления раскрыты по горячим следам.</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Сотрудниками ОР ППСП ОМВД за 12 месяцев 2014 года было задержано 3 граждан находящихся в федеральном розыске.</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Данные результаты в служебной деятельности роты ППСП показали, что в  текущем году не надлежащим образом велась работа по предотвращению краж с автомашин.</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Учитывая результаты работы отдельной роты ППСП в 2014 году, необходимо принять следующие меры по стабилизации оперативной обстановки в 2015 году:</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улучшить качество проведения занятий по БСП;</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принять исчерпывающие меры по комплектованию роты ППСП;</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исключить случаи использования личного состава ППС по не назначению;</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усилить контроль за нарядами ППСП на маршруте патрулирования;</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провести запланированные на сентябрь месяц мероприятия по пресечению уличных преступлений;</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ставить конкретные задачи нарядам с учетом анализа преступлений;</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добиться от руководителей других служб контроля за работой нарядов и дежурной части;</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согласовать и скоординировать работу нарядов ППСП с УУП и УР;</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применять поощрения к сотрудникам добившимся хороших показателей в служебной деятельности и наоборот строго наказывать за бездействие и халатность в борьбе с преступностью.</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Внедрять новые методы в борьбе с уличными преступлениями;</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Ответственным от руководства ставить конкретные задачи при инструктажах, особое внимание обращать на несение службы нарядами ОВО и ГНР, так как в их зоне ответственности наибольшее количество не раскрытых уличных преступлений.</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b/>
          <w:bCs/>
          <w:color w:val="000000"/>
          <w:u w:val="single"/>
          <w:lang w:val="ru-RU"/>
        </w:rPr>
        <w:t>РЕЗУЛЬТАТЫ РАБОТЫ ДЕЖУРНОЙ ЧАСТИ</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b/>
          <w:bCs/>
          <w:color w:val="000000"/>
          <w:u w:val="single"/>
          <w:lang w:val="ru-RU"/>
        </w:rPr>
        <w:t>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За 12 месяцев 2014 года</w:t>
      </w:r>
      <w:r w:rsidRPr="004745B4">
        <w:rPr>
          <w:rFonts w:ascii="Arial" w:hAnsi="Arial" w:cs="Arial"/>
          <w:b/>
          <w:bCs/>
          <w:color w:val="000000"/>
          <w:lang w:val="ru-RU"/>
        </w:rPr>
        <w:t> </w:t>
      </w:r>
      <w:r w:rsidRPr="004745B4">
        <w:rPr>
          <w:rFonts w:ascii="Arial" w:hAnsi="Arial" w:cs="Arial"/>
          <w:color w:val="000000"/>
          <w:lang w:val="ru-RU"/>
        </w:rPr>
        <w:t>дежурной частью Отдела было принято 28662 заявлений и сообщений о преступлениях и происшествиях  на 5142 больше, увеличилось на 18%, в сутки в среднем примерно 75 сообщений. В том числе 1676 о преступлениях. 11 преступлений было раскрыто по «горячим следам», где непосредственное участие в раскрытии принимали оперативные дежурные ДЧ отдела.</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За 12 месяцев 2014 года в дежурную часть отдела было доставлено 14970 человек, на 4403 больше, увеличение на 29%, в сутки в среднем примерно 41 человек, в том числе по подозрению в совершении преступления – 9869 человек , за административные правонарушения – 4863 человек, по другим основаниям – 155 человек, задерживалось в порядке ст.91 УПК РФ – 89 человек. Нарушений условий содержания доставленных допущено не было. Также не было допущено чрезвычайных происшествий с задержанными и доставленными лицами.</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Проверена организация работы дежурной части всего – 228 раз, в том числе сотрудниками аппарата УВД – 133, сотрудниками Штаба УВД – 3, сотрудниками аппарата ГУ МВД России по г. Москве – 79, сотрудниками Штаба ГУ МВД России по г. Москве – 6, сотрудниками аппарата МВД России – 0, членами ОНК – 0, сотрудниками прокуратуры - 18.</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b/>
          <w:bCs/>
          <w:color w:val="000000"/>
          <w:u w:val="single"/>
          <w:lang w:val="ru-RU"/>
        </w:rPr>
        <w:t>ВЫВОДЫ И РЕКОМЕНДАЦИИ:</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В 2014 году существенную роль в противодействии с преступностью и оздоровлении криминальной обстановки в районе Вешняки г. Москвы  сыграли районные программы правоохранительной и профилактической направленности, это: комплексная районная целевая программа профилактики правонарушений, борьбы с преступностью и обеспечения безопасности граждан в УВД по ВАО города Москвы на 2011-2015 годы.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С учетом изложенного, в целях дальнейшего совершенствования организации работы и повышения эффективности оперативно-служебной деятельности Отдела в соответствии с требованиями нормативных актов МВД и закона о полиции,  приоритетными направлениями оперативно-служебной деятельности в 2015 году считать:</w:t>
      </w:r>
    </w:p>
    <w:p w:rsidR="004745B4" w:rsidRPr="004745B4" w:rsidRDefault="004745B4" w:rsidP="004745B4">
      <w:pPr>
        <w:numPr>
          <w:ilvl w:val="0"/>
          <w:numId w:val="1"/>
        </w:numPr>
        <w:shd w:val="clear" w:color="auto" w:fill="FFFFFF"/>
        <w:spacing w:after="300" w:line="360" w:lineRule="atLeast"/>
        <w:ind w:left="0"/>
        <w:jc w:val="both"/>
        <w:rPr>
          <w:rFonts w:ascii="Arial" w:eastAsia="Times New Roman" w:hAnsi="Arial" w:cs="Arial"/>
          <w:color w:val="000000"/>
          <w:lang w:val="ru-RU"/>
        </w:rPr>
      </w:pPr>
      <w:r w:rsidRPr="004745B4">
        <w:rPr>
          <w:rFonts w:ascii="Arial" w:eastAsia="Times New Roman" w:hAnsi="Arial" w:cs="Arial"/>
          <w:color w:val="000000"/>
          <w:lang w:val="ru-RU"/>
        </w:rPr>
        <w:t>Повышение эффективности работы по предупреждению, пресечению, раскрытию и расследованию тяжких и особо тяжких преступлений, а также розыску лиц скрывшихся от органов предварительного следствия, дознания и суда;</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2. Раскрытие преступлений прошлых лет;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3. Раскрытие преступлений предусмотренных ст. 322, 232 и 241 УК РФ, так как данные преступления, не смотря на то что являются преступлениями средней тяжести,  носят повышенную опасность так как влияют на миграционные процессы в стране, а также на здоровье населения и нравственные устои в обществе;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4. Укрепление учетно-регистрационной дисциплины;</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5. Повышение эффективности профилактической работы с несовершеннолетними;</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6. Противодействия рецидивной преступности, а также преступлениям, совершенным в состоянии алкогольного и наркотического опьянения;</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7. Работа по пресечению экстремистских проявлений и выявление лиц, которые могут быть причастны к осуществлению  террористической деятельности;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8. Рациональная расстановка и комплексное использование сил и средств, маневрирование ими с учетом складывающейся оперативной обстановки;</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9.  Отработка жилого сектора, повышение уровня осведомленности участковых уполномоченных полиции о совершаемых на административных участках правонарушениях и поведении под учетного элемента;</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10.  При  отработке жилого сектора обращать особое внимание на выявление иностранных граждан, прибывших на территорию России из дальнего и ближнего зарубежья, не вставших в установленном порядке на регистрационный учет, соответственно находящихся на территории Российской Федерации нелегально. </w:t>
      </w:r>
    </w:p>
    <w:p w:rsidR="004745B4" w:rsidRPr="004745B4" w:rsidRDefault="004745B4" w:rsidP="004745B4">
      <w:pPr>
        <w:shd w:val="clear" w:color="auto" w:fill="FFFFFF"/>
        <w:spacing w:before="150" w:after="150" w:line="360" w:lineRule="atLeast"/>
        <w:jc w:val="both"/>
        <w:rPr>
          <w:rFonts w:ascii="Arial" w:hAnsi="Arial" w:cs="Arial"/>
          <w:color w:val="000000"/>
          <w:lang w:val="ru-RU"/>
        </w:rPr>
      </w:pPr>
      <w:r w:rsidRPr="004745B4">
        <w:rPr>
          <w:rFonts w:ascii="Arial" w:hAnsi="Arial" w:cs="Arial"/>
          <w:color w:val="000000"/>
          <w:lang w:val="ru-RU"/>
        </w:rPr>
        <w:t>            При неукоснительном выполнении данных требований, ОМВД по району Вешняки в 2015 году,  будет способно выполнить задачи, которые ставят перед органами внутренних дел общество и государство, а также станет надежным защитником интересов наших граждан.</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A170DA"/>
    <w:multiLevelType w:val="multilevel"/>
    <w:tmpl w:val="63203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5B4"/>
    <w:rsid w:val="004745B4"/>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4745B4"/>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745B4"/>
    <w:rPr>
      <w:rFonts w:ascii="Times" w:hAnsi="Times"/>
      <w:b/>
      <w:bCs/>
      <w:kern w:val="36"/>
      <w:sz w:val="48"/>
      <w:szCs w:val="48"/>
    </w:rPr>
  </w:style>
  <w:style w:type="character" w:customStyle="1" w:styleId="apple-converted-space">
    <w:name w:val="apple-converted-space"/>
    <w:basedOn w:val="a0"/>
    <w:rsid w:val="004745B4"/>
  </w:style>
  <w:style w:type="paragraph" w:styleId="a3">
    <w:name w:val="Normal (Web)"/>
    <w:basedOn w:val="a"/>
    <w:uiPriority w:val="99"/>
    <w:unhideWhenUsed/>
    <w:rsid w:val="004745B4"/>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4745B4"/>
    <w:rPr>
      <w:b/>
      <w:bCs/>
    </w:rPr>
  </w:style>
  <w:style w:type="paragraph" w:customStyle="1" w:styleId="listparagraph">
    <w:name w:val="listparagraph"/>
    <w:basedOn w:val="a"/>
    <w:rsid w:val="004745B4"/>
    <w:pPr>
      <w:spacing w:before="100" w:beforeAutospacing="1" w:after="100" w:afterAutospacing="1"/>
    </w:pPr>
    <w:rPr>
      <w:rFonts w:ascii="Times" w:hAnsi="Times"/>
      <w:sz w:val="20"/>
      <w:szCs w:val="20"/>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4745B4"/>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745B4"/>
    <w:rPr>
      <w:rFonts w:ascii="Times" w:hAnsi="Times"/>
      <w:b/>
      <w:bCs/>
      <w:kern w:val="36"/>
      <w:sz w:val="48"/>
      <w:szCs w:val="48"/>
    </w:rPr>
  </w:style>
  <w:style w:type="character" w:customStyle="1" w:styleId="apple-converted-space">
    <w:name w:val="apple-converted-space"/>
    <w:basedOn w:val="a0"/>
    <w:rsid w:val="004745B4"/>
  </w:style>
  <w:style w:type="paragraph" w:styleId="a3">
    <w:name w:val="Normal (Web)"/>
    <w:basedOn w:val="a"/>
    <w:uiPriority w:val="99"/>
    <w:unhideWhenUsed/>
    <w:rsid w:val="004745B4"/>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4745B4"/>
    <w:rPr>
      <w:b/>
      <w:bCs/>
    </w:rPr>
  </w:style>
  <w:style w:type="paragraph" w:customStyle="1" w:styleId="listparagraph">
    <w:name w:val="listparagraph"/>
    <w:basedOn w:val="a"/>
    <w:rsid w:val="004745B4"/>
    <w:pPr>
      <w:spacing w:before="100" w:beforeAutospacing="1" w:after="100" w:afterAutospacing="1"/>
    </w:pPr>
    <w:rPr>
      <w:rFonts w:ascii="Times" w:hAnsi="Times"/>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4313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3308</Words>
  <Characters>18860</Characters>
  <Application>Microsoft Macintosh Word</Application>
  <DocSecurity>0</DocSecurity>
  <Lines>157</Lines>
  <Paragraphs>44</Paragraphs>
  <ScaleCrop>false</ScaleCrop>
  <Company/>
  <LinksUpToDate>false</LinksUpToDate>
  <CharactersWithSpaces>22124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2015-01-24T17:35:00Z</dcterms:created>
  <dcterms:modified xsi:type="dcterms:W3CDTF">2015-01-24T17:36:00Z</dcterms:modified>
</cp:coreProperties>
</file>