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8AF" w:rsidRPr="006348AF" w:rsidRDefault="006348AF" w:rsidP="006348AF">
      <w:pPr>
        <w:shd w:val="clear" w:color="auto" w:fill="FFFFFF"/>
        <w:jc w:val="both"/>
        <w:rPr>
          <w:rFonts w:ascii="Tahoma" w:hAnsi="Tahoma" w:cs="Times New Roman"/>
          <w:color w:val="3333FF"/>
          <w:sz w:val="18"/>
          <w:szCs w:val="18"/>
          <w:lang w:val="ru-RU"/>
        </w:rPr>
      </w:pPr>
      <w:r w:rsidRPr="006348AF">
        <w:rPr>
          <w:rFonts w:ascii="Tahoma" w:hAnsi="Tahoma" w:cs="Times New Roman"/>
          <w:color w:val="000000"/>
          <w:sz w:val="18"/>
          <w:szCs w:val="18"/>
          <w:lang w:val="ru-RU"/>
        </w:rPr>
        <w:t>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3333FF"/>
          <w:sz w:val="20"/>
          <w:szCs w:val="20"/>
          <w:lang w:val="ru-RU"/>
        </w:rPr>
        <w:t>Информационно-аналитическая записка «О результатах оперативно-служебной деятельности ОМВД России по району Перово г. Москвы за 2013 год и задачах на 2014 год»</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3333FF"/>
          <w:sz w:val="20"/>
          <w:szCs w:val="20"/>
          <w:lang w:val="ru-RU"/>
        </w:rPr>
        <w:t>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ХАРАКТЕРИСТИКА КРИМИНАЛЬНОЙ ОБСТАНОВКИ НА ТЕРРИТОРИИ РАЙОНА</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отчетный период 2013 года Отделом МВД осуществлялся комплекс организационных и практических мероприятий, направленных на выполнение задач, поставленных перед органами внутренних дел в решении коллегии МВД России от 23 января 2012 года № КУ-1р «Об итогах оперативно-служебной деятельности подразделений ГУ МВД России по г. Москве за 2012 год мерах по реализации Послания Президента Российской Федерации, Федеральному Собранию  Российской Федерации от 22 декабря 2011 года, выполнению Директивы МВД России от 26 октября 2011 года № 2дсп «О приоритетных направлениях деятельности органов внутренних дел и внутренних войск МВД России, ФМС России в 2012 года» и задачах на 2013 год», требований Комплексной целевой программы профилактики правонарушений, борьбы с преступностью и обеспечения безопасности граждан в городе Москве на 2011-2015 годы.</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 12 месяцев 2013 года в Отделе МВД России по району Перово              г. Москвы зарегистрировано 32076 сообщений о преступлениях и происшествиях (АППГ 30502, +1574), в результате проведенных проверок по ним были приняты следующие решения: по 1848 возбуждены уголовные дела (АППГ 2029, -181), по 5245 об отказе в возбуждении уголовного дела (АППГ 5420, -175); о передаче по подследственности или территориальности 1420 (АППГ 1476, -56), возбуждено дел об административном правонарушении 87 (АППГ 116, -29), передано по подведомственности 193 (АППГ 64, +129), приобщено к материалам специального номенклатурного дела 17125 (АППГ 15239, +1886), по повторным заявлениям принято решений о приобщении к материалам ранее зарегистрированного заявления (сообщения) о том же 6200 (АППГ 6412, -212).</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Как отрицательный момент в работе Отдела стоит отметить, что за 12 месяцев 2013 года было отменено 42 постановлений об отказе в возбуждении уголовного дела с последующим возбуждением (АППГ 34,+8), из них 24 материалов возбуждено по инициативе прокуратуры (АППГ 25, -1), 24 материала возбуждено по инициативе органа внутренних дел 18 (АППГ 9, +9). </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дежурную часть Отдела за 12 месяцев по различным основаниям было доставлено 8891 человек, из них по подозрению в совершении преступлений и совершение преступлений 7655, за совершение административных правонарушений 954.</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РАСКРЫТИЕ И РАССЛЕДОВАНИЕ ПРЕСТУПЛЕНИЙ</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 12 месяцев 2013 года на территории Отдела МВД России по району Перово г. Москвы зарегистрировано 1848 преступлений (АППГ 2029, что на 181 меньше, -8,9%). Из них направлено в суд либо прекращено по не реабилитирующим обстоятельствам 591 преступлений, (АППГ-549, что на 42 больше). Преступлений общеуголовной направленности за текущий период зарегистрировано 1779 преступлений (АППГ 1929, что меньше на 150, -7,8%), направлено в суд 518 (АППГ 489, что на 29 больше, 5,9%). Данные результаты показывают, что на фоне снижения преступности в районе, раскрываемость преступлений не снижается, а наоборот увеличивается.</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Отделе МВД России по району Перово г. Москвы за отчетный период зарегистрировано 431 преступлений относящихся к категории тяжких и особо тяжких, (АППГ 491, что на 61 меньше). Из них:</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- 118 направлено суд ,( АППГ 123, -5);</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 результатам анализа за 12 месяцев 2013 года прослеживается снижение преступлений общеуголовной направленности 1779, что на 150 меньше, из них направлено в суд 518, что на 29 преступлений больше по сравнению с прошлым годом, 5,9 %. Снизилась преступность совершенная в общественных местах, за отчетный период 2013 года таких преступлений зарегистрировано 520, (АППГ 894, что на 374 меньше). Из них направлено суд в отчетный период 213 (АППГ 215, что на 2 меньше), так же снизилась и преступность совершенная на улицах 501 (ААПГ 516, что на 15 меньше).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Усматривается снижение преступлений совершенных в состоянии алкогольного опьянения 37 (АППГ 56, что на 19 меньше), лицами ранее совершавшими преступления 265 (АППГ 283, что на 18 меньше); не работающими гражданами уровень зарегистрированных преступлений остался на том же уровне.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Увеличился рост преступлений совершаемых несовершеннолетними 13 (АППГ 10, что 3 больше);  лицами находящимися в состоянии алкогольного наркотического опьянения 69 (АППГ 29, что 40 больше); не жителями г. Москвы 276 (АППГ 266, что на 10 больше).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Согласно статистических данных произошло снижение таких видов преступлений как:</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Убийство (в текущем году зарегистрировано 5 преступления из которых 5 направлено в суд, АППГ 11 зарегистрировано, из которых 9 направлено);</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Причинение тяжкого вреда здоровья (в т.г. зарегистрировано 7 преступлений из которых 6 направлено в суд, АППГ зарегистрировано 13, 7 из них направлено в суд);</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изнасилование (в т.г. зарегистрировано 1 направлено в суд 3 преступление, в АППГ 4 направлено в суд 2);</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lastRenderedPageBreak/>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краж (в т.г. зарегистрировано 1030 преступлений, из которых 256 направлены в суд, АППГ зарегистрировано 1160, и из них 273 направлено в суд);</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в том числе квартирные кражи в т.г. 73/17, в АППГ 94/26;</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кражи автотранспорта в т.г. 100/10, в АППГ 129/10;</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разбой ( в т..г. зарегистрировано 14 преступлений, направлено в суд 15, в АППГ зарегистрировано 26, из них 14 направлено в суд);</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грабежи ( т.г. зарегистрировано 136 преступления, из которых 46 направлено в суд, АППГ зарегистрировано 155 преступлений, 40 направлено в суд);</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мошенничество (в т.г зарегистрировано 229, из которых направлено в суд 13, в АППГ зарегистрировано 230 преступлений, из которых направлено в суд 4);</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незаконным завладением автотранспортом (ст. 166 УК РФ), так в т.г. зарегистрировано 23 преступления, раскрыто и направлено в суд 8, АППГ 26, направлено в суд 9);</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 отчетный период усматривается рост следующих преступлений:</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преступления связанные с наркотиками и СДВ 177 преступлений, раскрыто и направлено в суд 82, (АППГ 121, направлено в суд 56);</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сбыт наркотических и СДВ 99, направлено в суд 17,(АППГ 83, увеличение на 17, направлено в суд 21);</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организация незаконной миграции (ст.322 УК РФ) зарегистрировано 17 преступления, 15 из них направлено суд, АППГ -0.</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Такой вид преступления , как хранение оружия остался на том же уровне, 8 преступлений зарегистрировано, 4 направлено в суд (АППГ 8, направлено в суд 2).</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Проанализировав некоторые виды преступлений на территории Отдела МВД России по г. Москвы, а именно мошенничества, кражи и угоны автотранспорта, грабежей, разбоев, квартирных краж, можно сделать выводы, что: такое преступление как мошенничество, как правило, в 90% случаев совершаются посредством перечисления денежных средств за медицинские препараты и медицинское лечение, а так же под предлогом снятия порчи, освобождения родственников от уголовной ответственности. Наиболее распространенными местами совершения которых являются банки и почтовые отделения связи, где потерпевшие переводят денежные средства, наиболее частыми адресами совершения таких преступления являются ул. 3-я Владимирская, д.31/33, ул. Металлургов, д.11, 37Б, 8/20, ул. 2-я Владимирская, дома 18/7, 21/36, 26, 46, 38/18, 52, Зеленый пр-т, дома, 53, 6, корп.2, ул. 1-я Владимирская, д.4, ул. Перовская, д.8, корп.1, д.32, д.33, ул. Электродная, д.9/1, ш. Энтузиастов, д.76/1.</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Кражи и угоны автотранспорта как правило совершаются в ночное  и вечернее время суток, во время отсутствия возможных очевидцев и свидетелей преступления, и местом совершения являются территория прилегающая к жилым домам не оборудованная видеонаблюдением, или не охватывающую зону парковки, что значительно затрудняет процесс раскрытия преступлений.  Как показал анализ данных видов преступлений, основным объектом преступлений являются автомашины: «Мазда-6, Мазда-3, Хэндай Солярис», «Хэндай Туксан», «Киа Сид», «Киа Рио», «Митсубиси Лансер», «Тойота Корола», «Тойота Рав4».</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Квартирные кражи, напротив, совершаются, в дневное время, когда основная масса жителей жилого сектора находится на работе. Основным способом совершения краж из квартир, является незаконное проникновение, путем взлома замков входной двери, отжатие оконной рамы.</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ПРОФИЛАКТИКА ПРАВОНАРУШЕНИЙ ОХРАНА ОБЩЕСТВЕННОГО ПОРЯДКА</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Из 32076 материалов, зарегистрированных в КУСП, участковыми уполномоченными полиции за 12 месяцев  2013 года исполнено – 10672 (34 %) (нагрузка на одного УУП – 356), за аналогичный период 2012 года – 13268 (нагрузка на одного УУП – 442). Нагрузка снизилась на 2569, что составляет снижение на 86 материалов на каждого УУП.</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Исполнено материалов по секретной и простой входящей переписке за отчетный период – 4232 (нагрузка на одного УУП – 141), за аналогичный период 2012 года – 1888 (нагрузка на одного УУП – 63).</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 12 месяцев 2013 года в ОМВД России по району Перово г. Москвы зарегистрировано 4614 административных протоколов, что на 1,8 % меньше  в сравнении с АППГ (4699). Из них службой участковых уполномоченных полиции ОМВД России по району Перово было составлено 2722 протокола, что меньше на 16 % (АППГ – 3241 протокол).</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среднем на одного УУП приходится 90,7 административных протоколов.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Анализ по статьям КоАП РФ:</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мелкое хулиганство - 111  / 124;</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антиалкогольное законодательства - 1835 / 2459;</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нарушение паспортных правил - 246 / 222, из них:</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на ответственных квартиросъемщиков  - 0 / 0;</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прочие - 530 / 436.</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 12 месяцев 2013 года УУП отработано – 33106 квартир, что составляет 72 %. В целях предупреждения и раскрытия краж из квартир граждан участковыми уполномоченными проводится ряд мероприятий, а именно:</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-систематически в ходе отработки жилого сектора участковыми уполномоченными полиции проводятся разъяснительные беседы с населением о необходимости установки квартир под сигнализацию за отчетный период текущего года службой УУП получено 76 заявлений на ПЦО, что меньше чем за аналогичный период прошлого года (2012 год – 296).</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-проводятся встречи со старшими по домам и подъездам,  в ходе которых доводится  оперативная обстановка на территории отдела и информация по принятию мер населением по предотвращению преступлений, направленных против имущества, собственности и личности граждан.</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Систематически проводятся мероприятия по предупреждению совершения преступлений, как гласного характера, так и негласного замаскированного характера. За отчетный период времени проведено 30 мероприятий. Раскрыто 6 преступлений открытого хищения чужого имущества. Анализ раскрытых преступлений указывает на наиболее эффективность применения негласного способа раскрытия преступлений, путем патрулирования ограниченного участка территории в гражданской одежде. Однако указанный способ отнимает много времени, не всегда принося позитивные результаты, что не может часто использоваться, в связи с большой загруженностью УУП, так как в ежедневные обязанности УУП  входит: выявление административных правонарушений и их документирование, исполнение жалоб, заявлений и сообщений граждан, зарегистрированных в КУСП и алфавитном журнале, исполнение иной документации по входящей переписке, проверка автотранспорта по системе «Автопоиск», отработка жилого сектора, проверка чердачно-подвальных помещений на предмет сохранности пломб, ведение служебной документации, прием населения, проведение комплекса профилактических и оперативно-розыскных мероприятий в сфере потребительского рынка, выявления лиц грузинской национальности, состоящих в ОПГ, по физическому прикрытию сберкасс, банков, пунктов обмена валют и иных финансово-кредитных учреждений, комплекс мероприятий, направленных на предупреждение, пресечение совершения ДТА в местах массового скопления людей, выявление преступлений, сбора материалов проверок по ним, сопровождение уголовных дел.</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Проводится комплекс мероприятий направленных на предупреждение правонарушений в сфере потребительского рынка, а именно проверяются места реализации товаров народного потребления, с целью выявления реализации спиртосодержащей продукции со старыми акцизными марками, комплекс ОРМ и профилактических мероприятий направленных на выявление нарушений связанных с необоснованным повышением цен на продукты питания, оперативно-розыскные и проверочные мероприятия направленные на стабилизацию оперативной обстановки в сфере торговли и декриминализации потребительского рынка.</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Регулярно проводятся мероприятия по физическому прикрытию банков, сберегательных касс, пунктов обмена валюты, иных кредитно-финансовых учреждений, расположенных на территории района Перово г. Москвы в количестве 26 объектах. При проверке указанных учреждений были выявлены недостатки, не обеспечивающие должную сохранность денежных средств, ценных бумаг, иных товароматериальных ценностей. С целью устранения недостатков руководству каждого объекта выданы предписания на их устранение. Охрана, администрация указанных учреждений регулярно инструктируется о мерах, направленных на предупреждение совершения преступлений и административных правонарушений. Также используется метод патрулирования в маячковом режиме.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На территории района Перово г. Москвы, расположено 54 объекта фармакологических учреждений и 16 учреждений здравоохранения, которые также проверялись на предмет наличия достаточных, для предупреждения совершения преступлений и правонарушений, сил и средств. По фактам выявленных недостатков направлены предписания на их устранение.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Ежеквартально, а также в связи с совершением преступлений или проведением праздничных мероприятий участковыми уполномоченными милиции осуществляется проверка лиц, состоящих на профилактическом учете, по месту жительства, с целью предупреждения и пресечения совершения преступлений и правонарушений, а также устанавливается их возможная причастность их к совершенным преступлениям. Проводятся профилактические беседы о недопустимости совершения преступлений и правонарушений.</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На текущий период 2013 года на профилактическом учете в ОУУП Отдела МВД России по району Перово г. Москвы состоят 443 человека, а именно:</w:t>
      </w:r>
    </w:p>
    <w:p w:rsidR="006348AF" w:rsidRPr="006348AF" w:rsidRDefault="006348AF" w:rsidP="006348AF">
      <w:pPr>
        <w:ind w:left="1429"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Ранее судимые – 171, из них:</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формально подпадающие под административный надзор – 65;</w:t>
      </w:r>
    </w:p>
    <w:p w:rsidR="006348AF" w:rsidRPr="006348AF" w:rsidRDefault="006348AF" w:rsidP="006348AF">
      <w:pPr>
        <w:ind w:left="720" w:hanging="360"/>
        <w:jc w:val="both"/>
        <w:rPr>
          <w:rFonts w:ascii="Times" w:hAnsi="Times" w:cs="Times New Roman"/>
          <w:color w:val="000000"/>
          <w:sz w:val="20"/>
          <w:szCs w:val="20"/>
          <w:lang w:val="ru-RU"/>
        </w:rPr>
      </w:pPr>
      <w:r w:rsidRPr="006348AF">
        <w:rPr>
          <w:rFonts w:ascii="Courier New" w:hAnsi="Courier New" w:cs="Courier New"/>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лица, состоящие на административном надзоре – 16 (11 человек по инициативе УИИ; 5- по инициативе ОМВД).</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Лица, условно-осужденные (в том числе н/л и лица, наказанием которых избраны исправительные работы, и лица с ограничениями свободы)  - 137;</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Социально-опасные психически больные, состоящие на учете в ПНД – 49;</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Наркоманы, состоящие на учете в НД – 56;</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Лица, злоупотребляющие спиртными напитками и допускающие нарушения в семейно-бытовых отношениях – 28;</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Фанаты – 1</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Лица, организаторы притонов для употребления наркотиков -1.</w:t>
      </w:r>
    </w:p>
    <w:p w:rsidR="006348AF" w:rsidRPr="006348AF" w:rsidRDefault="006348AF" w:rsidP="006348AF">
      <w:pPr>
        <w:ind w:left="1440" w:hanging="360"/>
        <w:jc w:val="both"/>
        <w:rPr>
          <w:rFonts w:ascii="Times" w:hAnsi="Times" w:cs="Times New Roman"/>
          <w:color w:val="000000"/>
          <w:sz w:val="20"/>
          <w:szCs w:val="20"/>
          <w:lang w:val="ru-RU"/>
        </w:rPr>
      </w:pPr>
      <w:r w:rsidRPr="006348AF">
        <w:rPr>
          <w:rFonts w:ascii="Symbol" w:hAnsi="Symbol" w:cs="Times New Roman"/>
          <w:color w:val="000000"/>
          <w:sz w:val="20"/>
          <w:szCs w:val="20"/>
          <w:lang w:val="ru-RU"/>
        </w:rPr>
        <w:t></w:t>
      </w:r>
      <w:r w:rsidRPr="006348AF">
        <w:rPr>
          <w:rFonts w:ascii="Times New Roman" w:hAnsi="Times New Roman" w:cs="Times New Roman"/>
          <w:color w:val="000000"/>
          <w:sz w:val="14"/>
          <w:szCs w:val="14"/>
          <w:lang w:val="ru-RU"/>
        </w:rPr>
        <w:t>       </w:t>
      </w:r>
      <w:r w:rsidRPr="006348AF">
        <w:rPr>
          <w:rFonts w:ascii="Times" w:hAnsi="Times" w:cs="Times New Roman"/>
          <w:color w:val="000000"/>
          <w:sz w:val="20"/>
          <w:szCs w:val="20"/>
          <w:lang w:val="ru-RU"/>
        </w:rPr>
        <w:t>За 12 месяцев 2013 года поставлено на профилактические учеты 67 человек (АППГ – 88 человек).</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Ежемесячно, а также в рамках проведения оперативно-профилактических мероприятий, осуществляются проверки по месту жительства всех лиц, состоящих на профилактических учетах (условно-осужденных – ежеквартально). Проводятся беседы профилактического характера о недопустимости совершения преступлений и правонарушений.</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случае поступления жалоб от соседей либо от родственников об ухудшении здоровья  и психической устойчивости лиц (наркоманов, хронических алкоголиков, социально-опасных психбольных), состоящих на профилактическом учете в отделе МВД России по району Перово г. Москвы, НД, ПНД  об этом незамедлительно сообщается в лечебное учреждение, где наблюдаются  вышеуказанные лица. Так же при поступлении просьб об оказании помощи в привлечении подучетного контингента  со стороны лечебных учреждений к прохождению принудительного лечения, им со стороны УУП отдела МВД России по району Перово г. Москвы оказывается практическая помощь в рамках действующего законодательства.</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Ежемесячно осуществляется контроль за лицами, прибывшими из Северо-Кавказского региона. Согласно спискам, предоставляемым ОУФМС по району Перово г. Москвы на учете в ОМВД состоит 162 человека: - прибывших из Чечни – 56; прибывших из Дагестана – 63; прибывших из Северной Осетии – 14; прибывших из Ингушетии – 7; прибывших из Карачаево-Черкессии – 5; прибывших из Кабардино-Балкарии – 17.</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При получении оперативно-значимой информации, она передается в ОУР Отдела, а также в УФСБ по ВАО ГУ МВД России по г. Москве.</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Ежемесячно участковыми уполномоченными полиции осуществляются проверки:</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-нежилых помещений и организаций, расположенных на административном участке;</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-проверка ЧОП и объектов охраны, согласно графика;</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-проверка лиц, сдающих свою жилплощадь в поднаем, а также отработка адресов, по которым было отказано в регистрации;</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-проверка автостоянок, гаражей,  мест организованной парковки автотранспорта, ремонта автотранспорта. Участковыми уполномоченными полиции регулярно оказывается помощь сотрудникам ГУП ДЭЗа в выявлении владельцев незаконно установленных тентов-укрытий и ракушек.</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Также в рамках проводимых мероприятий по предотвращению террористических актов в г. Москве, в ходе отработки жилого сектора систематически проверяются чердачные и подвальные помещения жилых домов на предмет их закрытия и опечатывания. Направлены  предписания в жилищные органы о принятии мер к исключению доступа посторонних лиц в чердачно-подвальные помещения. Периодически обследуются важные, особо важные объекты, объекты жизнеобеспечения.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Силами участковых уполномоченных полиции согласно организационных и практических мероприятий проводится сплошная отработка жилого сектора на предмет выявления брошенного и разукомплектованного автотранспорта. Участковыми уполномоченными полиции ежедневно осуществлялась проверка автотранспорта по системе "АСУ патруль", а также АИС ПДУУ на принадлежность данного автотранспорта, находящегося на территории Перово к ранее угнанным или находящимся в розыске. За 12 месяцев 2013 года службой УУП Отдела МВД России по району Перово г. Москвы было проверено 9015 номеров машин. Выявлено 37 единиц брошенного и разукомплектованного автотранспорта. В ДЭЗ района Перово направлена информация о необходимости их дальнейшей эвакуации.</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Служба ОУУП Отдела МВД России по району Перово г. Москвы осуществляла охрану общественного порядка, обеспечение общественной безопасности, пресечение террористических актов, экстремистских проявлений, предупреждение и пресечение преступлений, административных правонарушений во время проведения мероприятий.  За 12 месяцев 2013 года участковые уполномоченные полиции приняли участие в проведении следующих мероприятий: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-«обеспечение охраны и общественного порядка на футбольных матчах» - 25 мероприятий.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-«Новогодние елки»</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-культурно-массовые и спортивные мероприятия  (Луч, Прожектор, ДТДиМ, ППКиО и др.) – 59 мероприятий.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-ООП и ОБ на период проведения майских праздников и Дня Победы;</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-«охрана общественного порядка при праздновании религиозных праздников» - 6 мероприятий.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-«Пешеходный переход» - 17.01.2013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-«Нетрезвый водитель» - 12-14.01.2013 г., 04.04.2013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-«Подросток» (локальные, окружные, городские) – 18 мероприятий.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-«автомобиль» - 10-27.04.2013 г.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-«алкоголь» - 10-20.05.2013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-«последний звонок и выпускные вечера» - 24.05.2013 г., 23- 24.06 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-«Безопасный дом, подъезд, квартира» - 13-15.02.2013 г., 18-21.02.2013 г., 20-23.05.2013 г., 14-16.08.2013 г., 15-17.10.2013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-«Выборы Мэра г. Москвы» - 07-08.09.2013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-«День Города, День знаний» - 01,07.09.2013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-«пресечение незаконного игорного бизнеса» - с 15.01.2013 г. по наст.время.</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-«Надзор» - 25-30.03.2013 г., 06-12.11.2013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-«Нелегальный мигрант» - 13-31.05.2013 г.; 16-17.10.2013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-«Нелегальный таксист» - 03-07.06.2013 г., 17-21.06.2013 г., 07-13.10.2013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-«Первоцвет» - 04-17.03.2013 г., 13-26.05.2013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-«Притон» - 18.02-24.03.2013 г., 10.09.-05.11.2013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-«Розыск»</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-«Заслон» - 01-11.07.2013 г., 18-28.11.2013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-«Барсетка» - 14-30.12.2013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-«безопасность» - 22-31.07.2013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-«Гражданское оружие» - 11-25.02.2013 г., 16-25.04.2013 г., 21-30.10.2013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-«Мак» - 27.05 - 20.10.2013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-«декриминализация потребительского рынка (нарушения правил торговли и незаконное пребывание иностранных граждан на территории РФ, осуществляющих торговлю)» - с 01.08.2013 г. по настоящее время.</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-«Сигнал» - 18.10.2013, 25.10.2013 г., 01.11.2013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-«недопущение террактов, в связи с осложнением обстановки в Волгограде» - 21.10-05.11.2013 г., с 30.12.2013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 розыску призывников»  - с 01.04.2013 г. по 30.06.2013 г., с 01.10.2013 г.</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-оперативно-профилактические мероприятия ОМВД, проводимые с целью предотвращения и раскрытия грабежей и разбойных нападений. Краж и других преступлений на территории района  - 36 мероприятий.</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Осуществлялся ряд оперативно-профилактических мероприятий (постоянные): по выявлению и установлению необоснованного завышения цен на продукты питания, реализация со старыми акцизными марками, комплекс мероприятий направленных на осуществление физических прикрытий пунктов обмена валют, банков, других кредитно-финансовых учреждений, перевозчиков денежных средств, комплекс мероприятий по выявлению лиц грузинской национальности состоящих в ОПГ, выявление лиц относящих себя к неформальным объединениям, установление мест изготовления  хранения распространения аудио-видео печатной продукции  экстремистского, националистического, разжигающего расовую социальную религиозную нетерпимость характера, проводится комплекс мероприятий направленных на обеспечение антитеррористической защищенности мест большого скопления людей, объектов относящихся к категории особо важных, важных, объектов жизнеобеспечения. Регулярно проводится комплекс оперативно-розыскных и профилактических мероприятий направленных на предупреждение, а также раскрытие преступлений: грабежей-разбоев, краж и угонов автотранспортных средств, квартирных краж, незаконного оборота наркотиков, предупреждение иногородней преступности, бытовой преступности. В рамках взаимодействия с Управой района Перово осуществляется комплекс мероприятий по выявлению брошенного и разукомплектованного автотранспорта. Иные общественные мероприятия.</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 </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ВЫВОДЫ И РЕКОМЕНДАЦИИ</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В 2014 году наибольшее внимание следует сконцентрировать на организации работы по выявлению, раскрытию и расследованию преступлений, поддержании высокого уровня профессиональной подготовки при обеспечении личностной и имущественной безопасности граждан, обеспечении общественной безопасности, поддерживая высокий уровень соблюдения учетно-регистрационной дисциплины и законности.</w:t>
      </w:r>
    </w:p>
    <w:p w:rsidR="006348AF" w:rsidRPr="006348AF" w:rsidRDefault="006348AF" w:rsidP="006348AF">
      <w:pPr>
        <w:ind w:firstLine="709"/>
        <w:jc w:val="both"/>
        <w:rPr>
          <w:rFonts w:ascii="Times" w:hAnsi="Times" w:cs="Times New Roman"/>
          <w:color w:val="000000"/>
          <w:sz w:val="20"/>
          <w:szCs w:val="20"/>
          <w:lang w:val="ru-RU"/>
        </w:rPr>
      </w:pPr>
      <w:r w:rsidRPr="006348AF">
        <w:rPr>
          <w:rFonts w:ascii="Times" w:hAnsi="Times" w:cs="Times New Roman"/>
          <w:color w:val="000000"/>
          <w:sz w:val="20"/>
          <w:szCs w:val="20"/>
          <w:lang w:val="ru-RU"/>
        </w:rPr>
        <w:t>С учетом изложенного, с целью выполнения задач, поставленных МВД России, ГУ МВД России по г. Москве, а также в целях дальнейшего совершенствования организации работы и повышения эффективности оперативно-служебной деятельности Отдела, приоритетными направлениями оперативно-служебной деятельности считать:</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-усиление контроля за раскрытием преступлений по «горячим следам»;</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-усиление мер реагирования на изменения криминальной обстановки, противодействие экстремизму, распространению ксенофобии, особенно в молодежной среде;</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-рациональную расстановку и комплексное использование сил и средств, маневрирование ими с учетом складывающейся оперативной обстановки;</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-совершенствование системы профилактики правонарушений, особенно превентивных составов;</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-организация работы по раскрытию тяжких и особо тяжких видов преступлений;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-соблюдение учетно-регистрационной дисциплины;</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-соблюдение служебной дисциплины и законности сотрудниками полиции;</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-повышение качества работы в раскрытии преступлений;</w:t>
      </w:r>
    </w:p>
    <w:p w:rsidR="006348AF" w:rsidRPr="006348AF" w:rsidRDefault="006348AF" w:rsidP="006348AF">
      <w:pPr>
        <w:jc w:val="both"/>
        <w:rPr>
          <w:rFonts w:ascii="Times" w:hAnsi="Times" w:cs="Times New Roman"/>
          <w:color w:val="000000"/>
          <w:sz w:val="20"/>
          <w:szCs w:val="20"/>
          <w:lang w:val="ru-RU"/>
        </w:rPr>
      </w:pPr>
      <w:r w:rsidRPr="006348AF">
        <w:rPr>
          <w:rFonts w:ascii="Times" w:hAnsi="Times" w:cs="Times New Roman"/>
          <w:color w:val="000000"/>
          <w:sz w:val="20"/>
          <w:szCs w:val="20"/>
          <w:lang w:val="ru-RU"/>
        </w:rPr>
        <w:t>-повышение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AF"/>
    <w:rsid w:val="006348AF"/>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348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3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795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3592</Words>
  <Characters>20481</Characters>
  <Application>Microsoft Macintosh Word</Application>
  <DocSecurity>0</DocSecurity>
  <Lines>170</Lines>
  <Paragraphs>48</Paragraphs>
  <ScaleCrop>false</ScaleCrop>
  <Company/>
  <LinksUpToDate>false</LinksUpToDate>
  <CharactersWithSpaces>24025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2014-01-24T22:03:00Z</dcterms:created>
  <dcterms:modified xsi:type="dcterms:W3CDTF">2014-01-24T22:03:00Z</dcterms:modified>
</cp:coreProperties>
</file>