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36" w:rsidRPr="00B43A36" w:rsidRDefault="00B43A36" w:rsidP="00B43A36">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B43A36">
        <w:rPr>
          <w:rFonts w:ascii="Arial" w:eastAsia="Times New Roman" w:hAnsi="Arial" w:cs="Arial"/>
          <w:color w:val="000000"/>
          <w:spacing w:val="-15"/>
          <w:kern w:val="36"/>
          <w:sz w:val="30"/>
          <w:szCs w:val="30"/>
          <w:lang w:val="ru-RU"/>
        </w:rPr>
        <w:t>Информационно-аналитическая записка за 2014 год</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i/>
          <w:iCs/>
          <w:color w:val="000000"/>
          <w:lang w:val="ru-RU"/>
        </w:rPr>
        <w:t>ИНФОРМАЦИОННО-АНАЛИТИЧЕСКАЯ ЗАПИСКА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i/>
          <w:iCs/>
          <w:color w:val="000000"/>
          <w:lang w:val="ru-RU"/>
        </w:rPr>
        <w:t>по итогам работы Отдела МВД России по району Северное Медведково г. Москвы за  2014 год</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Социально-демографическая характеристика района: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Территория района Северное Медведково составляет 442 га, граничит с районами СВАО: Лосиноостровский, Бибирево, Южное Медведково, Бабушкинский и Мытищинским районом Московской области.</w:t>
      </w:r>
      <w:r w:rsidRPr="00B43A36">
        <w:rPr>
          <w:rFonts w:ascii="Arial" w:hAnsi="Arial" w:cs="Arial"/>
          <w:b/>
          <w:bCs/>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Количество проживающего населения составляет по данным переписи населения 123073 человек, из них трудоспособного населения 77062, детей 19487, пенсионеров 26524. (по данным ЦАСБ на 01.06.2013г. – 106400 человек.</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Район относится к спальному типу. На его территории насчитывается 13 улиц, общая протяженность дорожной сети составляет 15,5 км.  В районе расположены 1 кинотеатр, 4 общежития, 19 детских дошкольных учреждений, 10 общеобразовательных школ, 2 колледжа, 1 гимназия, 1 частная школа,  1 станция метро, 2 отделения связи, 1 АТС, 4 поликлиники, (2 детских, 2 взрослых),  1 храм 3 часовни, 70 автостоянок, 31 предприятие технического сервиса автомототранспортных средств. Кроме этого в районе производится реконструкция жилого фонда. Имеется 1 пожароопасный объект ЗАО «Хлебокомбинат ПЕКО».</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Отдел МВД России по району Северное Медведково г. Москвы является отделом первой категории.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Задействовано нарядов на территории района: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6 основных маршрутов патрулирования, на которых ежесуточно несут службу 24 сотрудника полиции</w:t>
      </w:r>
      <w:r w:rsidRPr="00B43A36">
        <w:rPr>
          <w:rFonts w:ascii="Arial" w:hAnsi="Arial" w:cs="Arial"/>
          <w:color w:val="000000"/>
          <w:lang w:val="ru-RU"/>
        </w:rPr>
        <w:t>:</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Отдел  МВД – 14 человек на 6 автомашинах, в том числе:</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- 1 маршрут ГНР – 6 чел./сутки;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- 2 маршрута ПА – 8 чел./сутки;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lastRenderedPageBreak/>
        <w:t>- 1 маршрут для ГЗ 2-го БП МОВО УВД – 4 чел./сутки;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- 1 маршрут ОБ  ДПС УВД – 6 чел./сутки.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Штатная численность и некомплект л/с:</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 </w:t>
      </w:r>
    </w:p>
    <w:tbl>
      <w:tblPr>
        <w:tblW w:w="28440" w:type="dxa"/>
        <w:shd w:val="clear" w:color="auto" w:fill="FFFFFF"/>
        <w:tblCellMar>
          <w:left w:w="0" w:type="dxa"/>
          <w:right w:w="0" w:type="dxa"/>
        </w:tblCellMar>
        <w:tblLook w:val="04A0" w:firstRow="1" w:lastRow="0" w:firstColumn="1" w:lastColumn="0" w:noHBand="0" w:noVBand="1"/>
      </w:tblPr>
      <w:tblGrid>
        <w:gridCol w:w="15380"/>
        <w:gridCol w:w="3400"/>
        <w:gridCol w:w="3280"/>
        <w:gridCol w:w="500"/>
        <w:gridCol w:w="2720"/>
        <w:gridCol w:w="3160"/>
      </w:tblGrid>
      <w:tr w:rsidR="00B43A36" w:rsidRPr="00B43A36" w:rsidTr="00B43A36">
        <w:tc>
          <w:tcPr>
            <w:tcW w:w="15380" w:type="dxa"/>
            <w:shd w:val="clear" w:color="auto" w:fill="FFFFFF"/>
            <w:vAlign w:val="center"/>
            <w:hideMark/>
          </w:tcPr>
          <w:tbl>
            <w:tblPr>
              <w:tblW w:w="15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00"/>
              <w:gridCol w:w="3000"/>
            </w:tblGrid>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по штату</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b/>
                      <w:bCs/>
                      <w:lang w:val="ru-RU"/>
                    </w:rPr>
                    <w:t>177</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нач. состав</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122</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ряд. состав</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55</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ОУР</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21</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УУП</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34</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ОР ППСП</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51</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ОДН</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5</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ОД</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11</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СО</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9</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 </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 </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b/>
                      <w:bCs/>
                      <w:lang w:val="ru-RU"/>
                    </w:rPr>
                    <w:t>некомплект всего</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b/>
                      <w:bCs/>
                      <w:lang w:val="ru-RU"/>
                    </w:rPr>
                    <w:t>5 или 2,3%</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b/>
                      <w:bCs/>
                      <w:lang w:val="ru-RU"/>
                    </w:rPr>
                    <w:t>некомплект по должностям:</w:t>
                  </w:r>
                </w:p>
              </w:tc>
              <w:tc>
                <w:tcPr>
                  <w:tcW w:w="3000" w:type="dxa"/>
                  <w:tcBorders>
                    <w:top w:val="outset" w:sz="6" w:space="0" w:color="auto"/>
                    <w:left w:val="outset" w:sz="6" w:space="0" w:color="auto"/>
                    <w:bottom w:val="outset" w:sz="6" w:space="0" w:color="auto"/>
                    <w:right w:val="outset" w:sz="6" w:space="0" w:color="auto"/>
                  </w:tcBorders>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b/>
                      <w:bCs/>
                      <w:lang w:val="ru-RU"/>
                    </w:rPr>
                    <w:t> </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Оперуполномоченный ГОРИ</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1</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Оперуполномоченный по розыску ОУР</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1</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УУП</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2</w:t>
                  </w:r>
                </w:p>
              </w:tc>
            </w:tr>
            <w:tr w:rsidR="00B43A36" w:rsidRPr="00B43A36">
              <w:tc>
                <w:tcPr>
                  <w:tcW w:w="12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Полицейский - водитель</w:t>
                  </w:r>
                </w:p>
              </w:tc>
              <w:tc>
                <w:tcPr>
                  <w:tcW w:w="3000" w:type="dxa"/>
                  <w:tcBorders>
                    <w:top w:val="outset" w:sz="6" w:space="0" w:color="auto"/>
                    <w:left w:val="outset" w:sz="6" w:space="0" w:color="auto"/>
                    <w:bottom w:val="outset" w:sz="6" w:space="0" w:color="auto"/>
                    <w:right w:val="outset" w:sz="6" w:space="0" w:color="auto"/>
                  </w:tcBorders>
                  <w:vAlign w:val="center"/>
                  <w:hideMark/>
                </w:tcPr>
                <w:p w:rsidR="00B43A36" w:rsidRPr="00B43A36" w:rsidRDefault="00B43A36" w:rsidP="00B43A36">
                  <w:pPr>
                    <w:spacing w:before="150" w:after="150"/>
                    <w:rPr>
                      <w:rFonts w:ascii="Times" w:hAnsi="Times" w:cs="Times New Roman"/>
                      <w:lang w:val="ru-RU"/>
                    </w:rPr>
                  </w:pPr>
                  <w:r w:rsidRPr="00B43A36">
                    <w:rPr>
                      <w:rFonts w:ascii="Times" w:hAnsi="Times" w:cs="Times New Roman"/>
                      <w:lang w:val="ru-RU"/>
                    </w:rPr>
                    <w:t>1</w:t>
                  </w:r>
                </w:p>
              </w:tc>
            </w:tr>
          </w:tbl>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340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328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3200" w:type="dxa"/>
            <w:gridSpan w:val="2"/>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316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r>
      <w:tr w:rsidR="00B43A36" w:rsidRPr="00B43A36" w:rsidTr="00B43A36">
        <w:tc>
          <w:tcPr>
            <w:tcW w:w="1538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u w:val="single"/>
                <w:lang w:val="ru-RU"/>
              </w:rPr>
              <w:t>Дисциплинарная практика:</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За прошедший период к дисциплинарной ответственности привлечено 22 сотрудника Отдела (АППГ - 27):</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начальствующий состав – 15 (АППГ-21);</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рядовой состав – 7 (АППГ-6).</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w:t>
            </w:r>
            <w:r w:rsidRPr="00B43A36">
              <w:rPr>
                <w:rFonts w:ascii="Arial" w:hAnsi="Arial" w:cs="Arial"/>
                <w:b/>
                <w:bCs/>
                <w:color w:val="000000"/>
                <w:lang w:val="ru-RU"/>
              </w:rPr>
              <w:t>Наказано:</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приказом Отдела – 20 (АППГ-21);</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приказом УВД – 1 (АППГ-4);</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приказом ГУ МВД – 0 (АППГ-2);</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уволено за грубое нарушение служебной дисциплины – 1 (АППГ-1)</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w:t>
            </w:r>
            <w:r w:rsidRPr="00B43A36">
              <w:rPr>
                <w:rFonts w:ascii="Arial" w:hAnsi="Arial" w:cs="Arial"/>
                <w:b/>
                <w:bCs/>
                <w:color w:val="000000"/>
                <w:lang w:val="ru-RU"/>
              </w:rPr>
              <w:t>По службам:</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руководство – 2 (АППГ-0);</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дежурная часть – 0 (АППГ-4);</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участковые уполномоченные полиции – 2 (АППГ-6);</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ОУР – 20 (АППГ-2);</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следствие -0 (АППГ-0);</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дознание –6 (АППГ-3);</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ОДН – 0 (АППГ-1);</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ОР ППСП – 6 (АППГ-7);</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сотрудники других служб -5 (АППГ-2).</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Не допущено ни одного чрезвычайного происшествия (АППГ - 0).</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За прошедший период выявлено 33 нарушений ПДД РФ (44 сотрудника), совершенных сотрудниками Отдела  на личном автотранспорте в свободное от службы время.</w:t>
            </w:r>
            <w:r w:rsidRPr="00B43A36">
              <w:rPr>
                <w:rFonts w:ascii="Arial" w:hAnsi="Arial" w:cs="Arial"/>
                <w:b/>
                <w:bCs/>
                <w:color w:val="000000"/>
                <w:lang w:val="ru-RU"/>
              </w:rPr>
              <w:t> </w:t>
            </w:r>
            <w:r w:rsidRPr="00B43A36">
              <w:rPr>
                <w:rFonts w:ascii="Arial" w:hAnsi="Arial" w:cs="Arial"/>
                <w:color w:val="000000"/>
                <w:lang w:val="ru-RU"/>
              </w:rPr>
              <w:t>Нарушений по ст. 12.8 и 12.26 КРФ о АП (управление ТС в состоянии опьянение и отказ от прохождения медосвидетельствования) не допущено. Сотрудниками указанного Отдела не совершено ни одного ДТП.</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За  12 месяцев 2014 г. в Отдел поступило 182  обращения от граждан с жалобами на сотрудников, по которым проведено 66 служебных проверок, 116 списано рапортом в дело</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Качественный состав Отдела:</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Образование:</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Высшее – 95 (в т.ч. юридическое – 64)</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Среднее специальное – 46 (в т.ч. юридическое – 20)</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Среднее – 26</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Обучаются в ВУЗах – 40</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По стажу работы в органах внутренних дел:</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До 1 года – 14</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От 1 года до 3 лет – 5</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От 3 до 5 лет- 28</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От 5 до 10 лет- 47</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От 10 до 15 лет – 34</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От 15 до 20 лет – 32</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Свыше 20 лет – 9</w:t>
            </w:r>
          </w:p>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color w:val="000000"/>
                <w:lang w:val="ru-RU"/>
              </w:rPr>
              <w:t> </w:t>
            </w:r>
          </w:p>
        </w:tc>
        <w:tc>
          <w:tcPr>
            <w:tcW w:w="340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328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500" w:type="dxa"/>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c>
          <w:tcPr>
            <w:tcW w:w="5880" w:type="dxa"/>
            <w:gridSpan w:val="2"/>
            <w:shd w:val="clear" w:color="auto" w:fill="FFFFFF"/>
            <w:vAlign w:val="center"/>
            <w:hideMark/>
          </w:tcPr>
          <w:p w:rsidR="00B43A36" w:rsidRPr="00B43A36" w:rsidRDefault="00B43A36" w:rsidP="00B43A36">
            <w:pPr>
              <w:spacing w:before="150" w:after="150" w:line="360" w:lineRule="atLeast"/>
              <w:rPr>
                <w:rFonts w:ascii="Arial" w:hAnsi="Arial" w:cs="Arial"/>
                <w:color w:val="000000"/>
                <w:lang w:val="ru-RU"/>
              </w:rPr>
            </w:pPr>
            <w:r w:rsidRPr="00B43A36">
              <w:rPr>
                <w:rFonts w:ascii="Arial" w:hAnsi="Arial" w:cs="Arial"/>
                <w:b/>
                <w:bCs/>
                <w:color w:val="000000"/>
                <w:lang w:val="ru-RU"/>
              </w:rPr>
              <w:t> </w:t>
            </w:r>
          </w:p>
        </w:tc>
      </w:tr>
      <w:tr w:rsidR="00B43A36" w:rsidRPr="00B43A36" w:rsidTr="00B43A36">
        <w:tc>
          <w:tcPr>
            <w:tcW w:w="15380" w:type="dxa"/>
            <w:shd w:val="clear" w:color="auto" w:fill="FFFFFF"/>
            <w:vAlign w:val="center"/>
            <w:hideMark/>
          </w:tcPr>
          <w:p w:rsidR="00B43A36" w:rsidRPr="00B43A36" w:rsidRDefault="00B43A36" w:rsidP="00B43A36">
            <w:pPr>
              <w:spacing w:line="0" w:lineRule="atLeast"/>
              <w:rPr>
                <w:rFonts w:ascii="Arial" w:eastAsia="Times New Roman" w:hAnsi="Arial" w:cs="Arial"/>
                <w:color w:val="000000"/>
                <w:lang w:val="ru-RU"/>
              </w:rPr>
            </w:pPr>
            <w:r w:rsidRPr="00B43A36">
              <w:rPr>
                <w:rFonts w:ascii="Arial" w:eastAsia="Times New Roman" w:hAnsi="Arial" w:cs="Arial"/>
                <w:color w:val="000000"/>
                <w:lang w:val="ru-RU"/>
              </w:rPr>
              <w:t> </w:t>
            </w:r>
          </w:p>
        </w:tc>
        <w:tc>
          <w:tcPr>
            <w:tcW w:w="3400" w:type="dxa"/>
            <w:shd w:val="clear" w:color="auto" w:fill="FFFFFF"/>
            <w:vAlign w:val="center"/>
            <w:hideMark/>
          </w:tcPr>
          <w:p w:rsidR="00B43A36" w:rsidRPr="00B43A36" w:rsidRDefault="00B43A36" w:rsidP="00B43A36">
            <w:pPr>
              <w:spacing w:line="0" w:lineRule="atLeast"/>
              <w:rPr>
                <w:rFonts w:ascii="Arial" w:eastAsia="Times New Roman" w:hAnsi="Arial" w:cs="Arial"/>
                <w:color w:val="000000"/>
                <w:lang w:val="ru-RU"/>
              </w:rPr>
            </w:pPr>
            <w:r w:rsidRPr="00B43A36">
              <w:rPr>
                <w:rFonts w:ascii="Arial" w:eastAsia="Times New Roman" w:hAnsi="Arial" w:cs="Arial"/>
                <w:color w:val="000000"/>
                <w:lang w:val="ru-RU"/>
              </w:rPr>
              <w:t> </w:t>
            </w:r>
          </w:p>
        </w:tc>
        <w:tc>
          <w:tcPr>
            <w:tcW w:w="3280" w:type="dxa"/>
            <w:shd w:val="clear" w:color="auto" w:fill="FFFFFF"/>
            <w:vAlign w:val="center"/>
            <w:hideMark/>
          </w:tcPr>
          <w:p w:rsidR="00B43A36" w:rsidRPr="00B43A36" w:rsidRDefault="00B43A36" w:rsidP="00B43A36">
            <w:pPr>
              <w:spacing w:line="0" w:lineRule="atLeast"/>
              <w:rPr>
                <w:rFonts w:ascii="Arial" w:eastAsia="Times New Roman" w:hAnsi="Arial" w:cs="Arial"/>
                <w:color w:val="000000"/>
                <w:lang w:val="ru-RU"/>
              </w:rPr>
            </w:pPr>
            <w:r w:rsidRPr="00B43A36">
              <w:rPr>
                <w:rFonts w:ascii="Arial" w:eastAsia="Times New Roman" w:hAnsi="Arial" w:cs="Arial"/>
                <w:color w:val="000000"/>
                <w:lang w:val="ru-RU"/>
              </w:rPr>
              <w:t> </w:t>
            </w:r>
          </w:p>
        </w:tc>
        <w:tc>
          <w:tcPr>
            <w:tcW w:w="500" w:type="dxa"/>
            <w:shd w:val="clear" w:color="auto" w:fill="FFFFFF"/>
            <w:vAlign w:val="center"/>
            <w:hideMark/>
          </w:tcPr>
          <w:p w:rsidR="00B43A36" w:rsidRPr="00B43A36" w:rsidRDefault="00B43A36" w:rsidP="00B43A36">
            <w:pPr>
              <w:spacing w:line="0" w:lineRule="atLeast"/>
              <w:rPr>
                <w:rFonts w:ascii="Arial" w:eastAsia="Times New Roman" w:hAnsi="Arial" w:cs="Arial"/>
                <w:color w:val="000000"/>
                <w:lang w:val="ru-RU"/>
              </w:rPr>
            </w:pPr>
            <w:r w:rsidRPr="00B43A36">
              <w:rPr>
                <w:rFonts w:ascii="Arial" w:eastAsia="Times New Roman" w:hAnsi="Arial" w:cs="Arial"/>
                <w:color w:val="000000"/>
                <w:lang w:val="ru-RU"/>
              </w:rPr>
              <w:t> </w:t>
            </w:r>
          </w:p>
        </w:tc>
        <w:tc>
          <w:tcPr>
            <w:tcW w:w="2720" w:type="dxa"/>
            <w:shd w:val="clear" w:color="auto" w:fill="FFFFFF"/>
            <w:vAlign w:val="center"/>
            <w:hideMark/>
          </w:tcPr>
          <w:p w:rsidR="00B43A36" w:rsidRPr="00B43A36" w:rsidRDefault="00B43A36" w:rsidP="00B43A36">
            <w:pPr>
              <w:spacing w:line="0" w:lineRule="atLeast"/>
              <w:rPr>
                <w:rFonts w:ascii="Arial" w:eastAsia="Times New Roman" w:hAnsi="Arial" w:cs="Arial"/>
                <w:color w:val="000000"/>
                <w:lang w:val="ru-RU"/>
              </w:rPr>
            </w:pPr>
            <w:r w:rsidRPr="00B43A36">
              <w:rPr>
                <w:rFonts w:ascii="Arial" w:eastAsia="Times New Roman" w:hAnsi="Arial" w:cs="Arial"/>
                <w:color w:val="000000"/>
                <w:lang w:val="ru-RU"/>
              </w:rPr>
              <w:t> </w:t>
            </w:r>
          </w:p>
        </w:tc>
        <w:tc>
          <w:tcPr>
            <w:tcW w:w="3160" w:type="dxa"/>
            <w:shd w:val="clear" w:color="auto" w:fill="FFFFFF"/>
            <w:vAlign w:val="center"/>
            <w:hideMark/>
          </w:tcPr>
          <w:p w:rsidR="00B43A36" w:rsidRPr="00B43A36" w:rsidRDefault="00B43A36" w:rsidP="00B43A36">
            <w:pPr>
              <w:spacing w:line="0" w:lineRule="atLeast"/>
              <w:rPr>
                <w:rFonts w:ascii="Arial" w:eastAsia="Times New Roman" w:hAnsi="Arial" w:cs="Arial"/>
                <w:color w:val="000000"/>
                <w:lang w:val="ru-RU"/>
              </w:rPr>
            </w:pPr>
            <w:r w:rsidRPr="00B43A36">
              <w:rPr>
                <w:rFonts w:ascii="Arial" w:eastAsia="Times New Roman" w:hAnsi="Arial" w:cs="Arial"/>
                <w:color w:val="000000"/>
                <w:lang w:val="ru-RU"/>
              </w:rPr>
              <w:t> </w:t>
            </w:r>
          </w:p>
        </w:tc>
      </w:tr>
    </w:tbl>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Материально-техническое оснащение:</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Адрес объекта:</w:t>
      </w:r>
      <w:r w:rsidRPr="00B43A36">
        <w:rPr>
          <w:rFonts w:ascii="Arial" w:hAnsi="Arial" w:cs="Arial"/>
          <w:color w:val="000000"/>
          <w:lang w:val="ru-RU"/>
        </w:rPr>
        <w:t> ул. Широкая, д. 3</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Общая площадь здания (м</w:t>
      </w:r>
      <w:r w:rsidRPr="00B43A36">
        <w:rPr>
          <w:rFonts w:ascii="Arial" w:hAnsi="Arial" w:cs="Arial"/>
          <w:color w:val="000000"/>
          <w:u w:val="single"/>
          <w:vertAlign w:val="superscript"/>
          <w:lang w:val="ru-RU"/>
        </w:rPr>
        <w:t>2</w:t>
      </w:r>
      <w:r w:rsidRPr="00B43A36">
        <w:rPr>
          <w:rFonts w:ascii="Arial" w:hAnsi="Arial" w:cs="Arial"/>
          <w:color w:val="000000"/>
          <w:u w:val="single"/>
          <w:lang w:val="ru-RU"/>
        </w:rPr>
        <w:t>):</w:t>
      </w:r>
      <w:r w:rsidRPr="00B43A36">
        <w:rPr>
          <w:rFonts w:ascii="Arial" w:hAnsi="Arial" w:cs="Arial"/>
          <w:color w:val="000000"/>
          <w:lang w:val="ru-RU"/>
        </w:rPr>
        <w:t> 5601,3</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Этажность:</w:t>
      </w:r>
      <w:r w:rsidRPr="00B43A36">
        <w:rPr>
          <w:rFonts w:ascii="Arial" w:hAnsi="Arial" w:cs="Arial"/>
          <w:color w:val="000000"/>
          <w:lang w:val="ru-RU"/>
        </w:rPr>
        <w:t> 6</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Тип здания:</w:t>
      </w:r>
      <w:r w:rsidRPr="00B43A36">
        <w:rPr>
          <w:rFonts w:ascii="Arial" w:hAnsi="Arial" w:cs="Arial"/>
          <w:color w:val="000000"/>
          <w:lang w:val="ru-RU"/>
        </w:rPr>
        <w:t> панель, типовое здание ОМВД.</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Год постройки:</w:t>
      </w:r>
      <w:r w:rsidRPr="00B43A36">
        <w:rPr>
          <w:rFonts w:ascii="Arial" w:hAnsi="Arial" w:cs="Arial"/>
          <w:color w:val="000000"/>
          <w:lang w:val="ru-RU"/>
        </w:rPr>
        <w:t> 2004</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Обеспеченность имуществом вооружения: 100%.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u w:val="single"/>
          <w:lang w:val="ru-RU"/>
        </w:rPr>
        <w:t>Служебный автотранспорт:</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по штату – 14, фактически – 11, некомплект – 0, на списании – 3.</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Оперативная обстановка. Раскрытие преступлений.</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В целом, оперативно-служебная деятельность личного состава Отдела за отчетный период по приоритетным направлениям по борьбе с преступностью, охраны правопорядка и обеспечению общественной безопасности позволила сохранить контроль над оперативной обстановкой, а по отдельным направлениям оперативно-служебной деятельности закрепить положительную динамику. Руководством отдела принимались меры по улучшению результатов работы отдела, повышению ответственности каждого сотрудника за порученный участок работы. По основным показателям отдел по эффективности работы за 12 месяцев 2014 года занял 3  место среди  отделов внутренних дел УВД по СВАО (согласно критериев оценки, предусмотренных приказом МВД России №1040), и  место среди подразделений ГУ МВД России по г. Москве. Однако по ряду направлений отмечается низкую эффективность, что  </w:t>
      </w:r>
      <w:r w:rsidRPr="00B43A36">
        <w:rPr>
          <w:rFonts w:ascii="Arial" w:hAnsi="Arial" w:cs="Arial"/>
          <w:color w:val="000000"/>
          <w:lang w:val="ru-RU"/>
        </w:rPr>
        <w:br/>
        <w:t> позволяет однозначно говорить, что в оперативно-служебной деятельности решены не все вопросы. В подтверждение сказанного свидетельствуют некоторые статистические данные.</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По итогам работы за  2014 год, состояние преступности на территории обслуживаемого  района  наглядно характеризуется увеличением на 42% зарегистрированных  особо тяжких преступлений,  на территории обслуживаемого района  за  2014 год зарегистрировано 116 преступлений, относящихся к категории особо тяжких (АППГ – 49),  лица установлены –в 33 случаях (АППГ – 28), однако, стоит учесть, что их доля от общего количества зарегистрированных преступлений  составляет 6,8%.</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Тенденция увеличения  количества преступлений характерна практически для всех основных значимых категорий и видов. В частности, больше, чем за АППГ, совершено таких преступлений, как:  умышленное причинение тяжкого вреда здоровью  на  23 % (13/10) , разбои  на 36 % (15/11),  преступления, связанные с незаконным оборотом наркотических средств – на 91,3 % (264/138), неправомерное завладение автотранспортом на 3,3% (19/15), мошенничество – на  22 % ( 168/131),  в тоже время уменьшилось количество таких  преступлений как:  убийства – на  37,5 (5/8), кражи – на 1,9 % (783/798), однако квартирные кражи увеличились– на 16,7 % (49/42), хулиганство – на 23,2 % (7/9), кражи автотранспортных средств – на 3,3 %  (88/91), грабежи – на 16,4 % (97/116), не зарегистрировано вымогательств –   ( 0/2).</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Как негативный показатель в работе Отдела можно расценивать увеличение  общего количества зарегистрированных преступлений в  отчетном периоде (1710,1551). Необходимо усилить профилактику преступлений совершенных в общественных местах и на улице, так как за отчетный период 2014 года было зарегистрировано 1141 преступлений, совершенных в общественных местах против 1078 в АППГ (+5,5 %), однако  с 879 фактов в прошлом году до 855 в отчетном периоде произошло снижение количества преступлений совершенных на улицах (снижение   3 %).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Останавливаясь на оценке деятельности подразделений отдела по профилактике преступлений и правонарушений за отчетный период можно отметить, что в результате принимаемых профилактических мер личному составу Отдела  удалось добиться положительных показателей по профилактике и предупреждению  преступлений, совершенных в состоянии опьянения: с 60 фактов в АППГ до 43 фактов в текущем году (- 28 %); преступлений, совершенными лицами, ранее совершившими преступления: со 164 фактов АППГ до 107 фактов в отчетном периоде (- 35 %) Также, как  положительный момент необходимо отметить снижение групповой преступности с 27 фактов в 2013 году до 19 - в текущем году.</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Миграционное законодательство:</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В настоящее время значительное влияние на криминогенную обстановку в городе оказывает иногородняя преступность. За 12 месяцев 2014 года на территории района зарегистрировано 1710 преступлений, из них лица их совершившие установлены в 349 случае. 38,6%  (или 135 в количественном показателе) от общего числа совершенных на территории района преступлений приходится на долю иногородних граждан. За аналогичный период 2014 года 10,02% от общего количества зарегистрированных преступлений приходилось на долю иногородних граждан.</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12 месяцев 2014 года: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всего преступлений – 135</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другие регионы РФ – 50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другие государства – 36</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БОМЖ- 11</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кавказ - 9</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i/>
          <w:i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12 месяцев 2013 года: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всего преступлений – 158</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другие регионы РФ – 60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другие государства – 40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БОМЖ- 13</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дальнее зарубежье – 17</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-жители Московской области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В отчетном периоде за нарушения миграционного законодательства привлечено к административной ответственности 333 иностранных гражданина, из них выдворено за пределы России 294 иностранных гражданин, в том числе через центр временного содержания иностранных граждан - 294.</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i/>
          <w:i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Возбуждено 4 уголовных дела по ст. 322 УК РФ.</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Главным приоритетным направлением деятельности было и остается обеспечение личной и имущественной безопасности граждан. Важная роль в решении этой задачи отводится службам по охране общественного порядка.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Участковыми уполномоченными полиции</w:t>
      </w:r>
      <w:r w:rsidRPr="00B43A36">
        <w:rPr>
          <w:rFonts w:ascii="Arial" w:hAnsi="Arial" w:cs="Arial"/>
          <w:color w:val="000000"/>
          <w:lang w:val="ru-RU"/>
        </w:rPr>
        <w:t> установлены лица по 81  преступлениям, (АППГ-165) , что является 16 результатом по нагрузочным показателям работы среди ОМВД по СВАО г. Москвы. </w:t>
      </w:r>
      <w:r w:rsidRPr="00B43A36">
        <w:rPr>
          <w:rFonts w:ascii="Arial" w:hAnsi="Arial" w:cs="Arial"/>
          <w:i/>
          <w:i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 профилактический учет участковыми уполномоченными полиции было поставлено 141 жителя района, (АППГ- 244 ). В целях обеспечения выполнения положений Федерального закона от 06.04.2011 г. № 64-ФЗ «Об административном надзоре за лицами, освободившимися из мест лишения свободы» на профилактический учет было поставлено  10  ранее судимых жителя района, формально подпадающих под надзор.  За 12 месяцев 2014 года участковыми уполномоченными полиции  принято 4411 решения об отказе в возбуждении уголовного дела.  Жилой сектор участковыми уполномоченными полиции отработан на 94,5 %.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Отделение по делам несовершеннолетних:</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 поставлено на учет родителей – 24 (АППГ-27)</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поставлено на учет несовершеннолетних – 33 (АППГ-33)</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состоит на учете несовершеннолетних – 34 (АППГ-59)</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Привлечено к административной ответственности: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законных представителей – 75 (АППГ-73)</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Несовершеннолетних – 64 (АППГ-55)</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i/>
          <w:i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Направлено материалов на лишение родительских прав в суд:</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Направлено – 6 (АППГ-6)</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лишено – 4</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i/>
          <w:i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Всего доставлено несовершеннолетних – 302 (АППГ-231)</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Помещено в ЦВСНП – 16 (АППГ-17)</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Помещено в больницы – 65 (АППГ-67)</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Сотрудниками подразделения ППСП</w:t>
      </w:r>
      <w:r w:rsidRPr="00B43A36">
        <w:rPr>
          <w:rFonts w:ascii="Arial" w:hAnsi="Arial" w:cs="Arial"/>
          <w:color w:val="000000"/>
          <w:lang w:val="ru-RU"/>
        </w:rPr>
        <w:t> за истекший период 2014 года установлены лица по 89 преступлениям, (АППГ- по88 преступлений), что является 3 результатом по нагрузочным показателям работы среди ОМВД по СВАО г. Москвы. </w:t>
      </w:r>
      <w:r w:rsidRPr="00B43A36">
        <w:rPr>
          <w:rFonts w:ascii="Arial" w:hAnsi="Arial" w:cs="Arial"/>
          <w:i/>
          <w:i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Результаты работы сотрудников уголовного розыска: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За 12 месяцев 2014 года основная деятельность службы уголовного розыска ОМВД России по  району Северное Медведково г. Москвы была направлена на борьбу по пресечению и раскрытию совершаемых преступлений, а также,  на проведение мероприятий по профилактике и повышению раскрываемости в борьбе с преступностью.</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За 12 месяцев 2014 года службой отделения уголовного розыска Отдела МВД России по району Северное Медведково г. Москвы раскрыто 106 преступлений, из них особо тяжких 26 (30,1% от общего числа особо тяжких преступлений, тяжких 47 (11,2% от общего числа тяжких преступлений).</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Нагрузка на одного оперуполномоченного составляет 4,3</w:t>
      </w:r>
      <w:r w:rsidRPr="00B43A36">
        <w:rPr>
          <w:rFonts w:ascii="Arial" w:hAnsi="Arial" w:cs="Arial"/>
          <w:b/>
          <w:bCs/>
          <w:color w:val="000000"/>
          <w:lang w:val="ru-RU"/>
        </w:rPr>
        <w:t>, </w:t>
      </w:r>
      <w:r w:rsidRPr="00B43A36">
        <w:rPr>
          <w:rFonts w:ascii="Arial" w:hAnsi="Arial" w:cs="Arial"/>
          <w:color w:val="000000"/>
          <w:lang w:val="ru-RU"/>
        </w:rPr>
        <w:t> средняя нагрузка по УВД по СВАО ГУ МВД России по г. Москве составляет 3,8.</w:t>
      </w:r>
      <w:r w:rsidRPr="00B43A36">
        <w:rPr>
          <w:rFonts w:ascii="Arial" w:hAnsi="Arial" w:cs="Arial"/>
          <w:b/>
          <w:b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По раскрываемости зарегистрированных преступлений компетенции УР  наше подразделение занимает 14 позицию среди ОУР УВД  по  СВАО     г. Москвы.</w:t>
      </w:r>
      <w:r w:rsidRPr="00B43A36">
        <w:rPr>
          <w:rFonts w:ascii="Arial" w:hAnsi="Arial" w:cs="Arial"/>
          <w:b/>
          <w:b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Результаты работы следственного отделения и отделения дознания Отдела </w:t>
      </w:r>
      <w:r w:rsidRPr="00B43A36">
        <w:rPr>
          <w:rFonts w:ascii="Arial" w:hAnsi="Arial" w:cs="Arial"/>
          <w:color w:val="000000"/>
          <w:lang w:val="ru-RU"/>
        </w:rPr>
        <w:t>за отчетный период характеризуются  ухудшением качества расследования уголовных дел, а также, увеличением количества используемых составов преступлений, в том числе и более сложных.</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За 2014 год в СО отдела МВД России по району  Северное Медведково г. Москвы находилось в производстве  1377 уголовных дел (АППГ –</w:t>
      </w:r>
      <w:r w:rsidRPr="00B43A36">
        <w:rPr>
          <w:rFonts w:ascii="Arial" w:hAnsi="Arial" w:cs="Arial"/>
          <w:b/>
          <w:bCs/>
          <w:color w:val="000000"/>
          <w:lang w:val="ru-RU"/>
        </w:rPr>
        <w:t>917</w:t>
      </w:r>
      <w:r w:rsidRPr="00B43A36">
        <w:rPr>
          <w:rFonts w:ascii="Arial" w:hAnsi="Arial" w:cs="Arial"/>
          <w:color w:val="000000"/>
          <w:lang w:val="ru-RU"/>
        </w:rPr>
        <w:t> ), из которых приостановлены в порядке п. 1 ч. 1 ст. 208 УПК РФ 828</w:t>
      </w:r>
      <w:r w:rsidRPr="00B43A36">
        <w:rPr>
          <w:rFonts w:ascii="Arial" w:hAnsi="Arial" w:cs="Arial"/>
          <w:b/>
          <w:bCs/>
          <w:color w:val="000000"/>
          <w:lang w:val="ru-RU"/>
        </w:rPr>
        <w:t> </w:t>
      </w:r>
      <w:r w:rsidRPr="00B43A36">
        <w:rPr>
          <w:rFonts w:ascii="Arial" w:hAnsi="Arial" w:cs="Arial"/>
          <w:color w:val="000000"/>
          <w:lang w:val="ru-RU"/>
        </w:rPr>
        <w:t>уголовных дел, (АППГ – 710) за не установлением лиц, подлежащих привлечению в качестве обвиняемых. Из находящихся в производстве дел только  получено из ОД – 15</w:t>
      </w:r>
      <w:r w:rsidRPr="00B43A36">
        <w:rPr>
          <w:rFonts w:ascii="Arial" w:hAnsi="Arial" w:cs="Arial"/>
          <w:b/>
          <w:bCs/>
          <w:color w:val="000000"/>
          <w:lang w:val="ru-RU"/>
        </w:rPr>
        <w:t> </w:t>
      </w:r>
      <w:r w:rsidRPr="00B43A36">
        <w:rPr>
          <w:rFonts w:ascii="Arial" w:hAnsi="Arial" w:cs="Arial"/>
          <w:color w:val="000000"/>
          <w:lang w:val="ru-RU"/>
        </w:rPr>
        <w:t>(АППГ – </w:t>
      </w:r>
      <w:r w:rsidRPr="00B43A36">
        <w:rPr>
          <w:rFonts w:ascii="Arial" w:hAnsi="Arial" w:cs="Arial"/>
          <w:b/>
          <w:bCs/>
          <w:color w:val="000000"/>
          <w:lang w:val="ru-RU"/>
        </w:rPr>
        <w:t>37</w:t>
      </w:r>
      <w:r w:rsidRPr="00B43A36">
        <w:rPr>
          <w:rFonts w:ascii="Arial" w:hAnsi="Arial" w:cs="Arial"/>
          <w:color w:val="000000"/>
          <w:lang w:val="ru-RU"/>
        </w:rPr>
        <w:t> ). Из числа находившихся в производстве  уголовных дел на  эпизод преступной деятельности закончены производством и направлены в суд 90</w:t>
      </w:r>
      <w:r w:rsidRPr="00B43A36">
        <w:rPr>
          <w:rFonts w:ascii="Arial" w:hAnsi="Arial" w:cs="Arial"/>
          <w:b/>
          <w:bCs/>
          <w:color w:val="000000"/>
          <w:lang w:val="ru-RU"/>
        </w:rPr>
        <w:t> на 99 (</w:t>
      </w:r>
      <w:r w:rsidRPr="00B43A36">
        <w:rPr>
          <w:rFonts w:ascii="Arial" w:hAnsi="Arial" w:cs="Arial"/>
          <w:color w:val="000000"/>
          <w:lang w:val="ru-RU"/>
        </w:rPr>
        <w:t>АППГ –103</w:t>
      </w:r>
      <w:r w:rsidRPr="00B43A36">
        <w:rPr>
          <w:rFonts w:ascii="Arial" w:hAnsi="Arial" w:cs="Arial"/>
          <w:b/>
          <w:bCs/>
          <w:color w:val="000000"/>
          <w:lang w:val="ru-RU"/>
        </w:rPr>
        <w:t>  на 119</w:t>
      </w:r>
      <w:r w:rsidRPr="00B43A36">
        <w:rPr>
          <w:rFonts w:ascii="Arial" w:hAnsi="Arial" w:cs="Arial"/>
          <w:color w:val="000000"/>
          <w:lang w:val="ru-RU"/>
        </w:rPr>
        <w:t>).</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Нагрузка на одного следователя, по находящимся в производстве уголовных дел составляет</w:t>
      </w:r>
      <w:r w:rsidRPr="00B43A36">
        <w:rPr>
          <w:rFonts w:ascii="Arial" w:hAnsi="Arial" w:cs="Arial"/>
          <w:b/>
          <w:bCs/>
          <w:color w:val="000000"/>
          <w:lang w:val="ru-RU"/>
        </w:rPr>
        <w:t>153</w:t>
      </w:r>
      <w:r w:rsidRPr="00B43A36">
        <w:rPr>
          <w:rFonts w:ascii="Arial" w:hAnsi="Arial" w:cs="Arial"/>
          <w:color w:val="000000"/>
          <w:lang w:val="ru-RU"/>
        </w:rPr>
        <w:t>,  по  направленным в суд составляет 10</w:t>
      </w:r>
      <w:r w:rsidRPr="00B43A36">
        <w:rPr>
          <w:rFonts w:ascii="Arial" w:hAnsi="Arial" w:cs="Arial"/>
          <w:b/>
          <w:bCs/>
          <w:color w:val="000000"/>
          <w:lang w:val="ru-RU"/>
        </w:rPr>
        <w:t>.</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За 12 месяцев 2014 г. в производстве дознавателей находилось 750</w:t>
      </w:r>
      <w:r w:rsidRPr="00B43A36">
        <w:rPr>
          <w:rFonts w:ascii="Arial" w:hAnsi="Arial" w:cs="Arial"/>
          <w:b/>
          <w:bCs/>
          <w:color w:val="000000"/>
          <w:lang w:val="ru-RU"/>
        </w:rPr>
        <w:t> </w:t>
      </w:r>
      <w:r w:rsidRPr="00B43A36">
        <w:rPr>
          <w:rFonts w:ascii="Arial" w:hAnsi="Arial" w:cs="Arial"/>
          <w:color w:val="000000"/>
          <w:lang w:val="ru-RU"/>
        </w:rPr>
        <w:t> уголовных дел (за 12 месяцев 2013 года –907).   Производством окончено  </w:t>
      </w:r>
      <w:r w:rsidRPr="00B43A36">
        <w:rPr>
          <w:rFonts w:ascii="Arial" w:hAnsi="Arial" w:cs="Arial"/>
          <w:b/>
          <w:bCs/>
          <w:color w:val="000000"/>
          <w:lang w:val="ru-RU"/>
        </w:rPr>
        <w:t>116</w:t>
      </w:r>
      <w:r w:rsidRPr="00B43A36">
        <w:rPr>
          <w:rFonts w:ascii="Arial" w:hAnsi="Arial" w:cs="Arial"/>
          <w:color w:val="000000"/>
          <w:lang w:val="ru-RU"/>
        </w:rPr>
        <w:t> уголовных дел (за 12 мес. 2013 года - 169).  </w:t>
      </w:r>
      <w:r w:rsidRPr="00B43A36">
        <w:rPr>
          <w:rFonts w:ascii="Arial" w:hAnsi="Arial" w:cs="Arial"/>
          <w:b/>
          <w:bCs/>
          <w:color w:val="000000"/>
          <w:lang w:val="ru-RU"/>
        </w:rPr>
        <w:t>24</w:t>
      </w:r>
      <w:r w:rsidRPr="00B43A36">
        <w:rPr>
          <w:rFonts w:ascii="Arial" w:hAnsi="Arial" w:cs="Arial"/>
          <w:color w:val="000000"/>
          <w:lang w:val="ru-RU"/>
        </w:rPr>
        <w:t> уголовных дела возвращены для производства дополнительного дознания (АППГ -3). Передано в СО уголовных дел </w:t>
      </w:r>
      <w:r w:rsidRPr="00B43A36">
        <w:rPr>
          <w:rFonts w:ascii="Arial" w:hAnsi="Arial" w:cs="Arial"/>
          <w:b/>
          <w:bCs/>
          <w:color w:val="000000"/>
          <w:lang w:val="ru-RU"/>
        </w:rPr>
        <w:t>–15</w:t>
      </w:r>
      <w:r w:rsidRPr="00B43A36">
        <w:rPr>
          <w:rFonts w:ascii="Arial" w:hAnsi="Arial" w:cs="Arial"/>
          <w:color w:val="000000"/>
          <w:lang w:val="ru-RU"/>
        </w:rPr>
        <w:t>  (АППГ-</w:t>
      </w:r>
      <w:r w:rsidRPr="00B43A36">
        <w:rPr>
          <w:rFonts w:ascii="Arial" w:hAnsi="Arial" w:cs="Arial"/>
          <w:b/>
          <w:bCs/>
          <w:color w:val="000000"/>
          <w:lang w:val="ru-RU"/>
        </w:rPr>
        <w:t>37</w:t>
      </w:r>
      <w:r w:rsidRPr="00B43A36">
        <w:rPr>
          <w:rFonts w:ascii="Arial" w:hAnsi="Arial" w:cs="Arial"/>
          <w:color w:val="000000"/>
          <w:lang w:val="ru-RU"/>
        </w:rPr>
        <w:t> ). Приостановлено уголовных дел по п. 1 ч. 1 ст. 208 УПК РФ за 12 месяцев 2014 года – 529</w:t>
      </w:r>
      <w:r w:rsidRPr="00B43A36">
        <w:rPr>
          <w:rFonts w:ascii="Arial" w:hAnsi="Arial" w:cs="Arial"/>
          <w:b/>
          <w:bCs/>
          <w:color w:val="000000"/>
          <w:lang w:val="ru-RU"/>
        </w:rPr>
        <w:t> </w:t>
      </w:r>
      <w:r w:rsidRPr="00B43A36">
        <w:rPr>
          <w:rFonts w:ascii="Arial" w:hAnsi="Arial" w:cs="Arial"/>
          <w:color w:val="000000"/>
          <w:lang w:val="ru-RU"/>
        </w:rPr>
        <w:t>(АППГ</w:t>
      </w:r>
      <w:r w:rsidRPr="00B43A36">
        <w:rPr>
          <w:rFonts w:ascii="Arial" w:hAnsi="Arial" w:cs="Arial"/>
          <w:b/>
          <w:bCs/>
          <w:color w:val="000000"/>
          <w:lang w:val="ru-RU"/>
        </w:rPr>
        <w:t> —605</w:t>
      </w:r>
      <w:r w:rsidRPr="00B43A36">
        <w:rPr>
          <w:rFonts w:ascii="Arial" w:hAnsi="Arial" w:cs="Arial"/>
          <w:color w:val="000000"/>
          <w:lang w:val="ru-RU"/>
        </w:rPr>
        <w:t>). Окончено дел в сроки свыше установленных УПК –  дела </w:t>
      </w:r>
      <w:r w:rsidRPr="00B43A36">
        <w:rPr>
          <w:rFonts w:ascii="Arial" w:hAnsi="Arial" w:cs="Arial"/>
          <w:b/>
          <w:bCs/>
          <w:color w:val="000000"/>
          <w:lang w:val="ru-RU"/>
        </w:rPr>
        <w:t>54 </w:t>
      </w:r>
      <w:r w:rsidRPr="00B43A36">
        <w:rPr>
          <w:rFonts w:ascii="Arial" w:hAnsi="Arial" w:cs="Arial"/>
          <w:color w:val="000000"/>
          <w:lang w:val="ru-RU"/>
        </w:rPr>
        <w:t>(АППГ —33</w:t>
      </w:r>
      <w:r w:rsidRPr="00B43A36">
        <w:rPr>
          <w:rFonts w:ascii="Arial" w:hAnsi="Arial" w:cs="Arial"/>
          <w:b/>
          <w:bCs/>
          <w:color w:val="000000"/>
          <w:lang w:val="ru-RU"/>
        </w:rPr>
        <w:t>)</w:t>
      </w:r>
      <w:r w:rsidRPr="00B43A36">
        <w:rPr>
          <w:rFonts w:ascii="Arial" w:hAnsi="Arial" w:cs="Arial"/>
          <w:color w:val="000000"/>
          <w:lang w:val="ru-RU"/>
        </w:rPr>
        <w:t>.</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Таким образом, анализируя итоги работы  данного подразделения, можно отметить  снижение качества дознания.</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Нагрузка на одного дознавателя, по находящимся в производстве дел-  68,2</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u w:val="single"/>
          <w:lang w:val="ru-RU"/>
        </w:rPr>
        <w:t>Административная практика: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составлено адм. материалов – 5642 (АППГ-6669)</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Из них:</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мелкое хулиганство – 555 (АППГ-266);</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нарушение антиалкогольного законодательства – 3583 (АППГ-4650);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нарушение паспортного режима – 403 (АППГ-300);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в том числе гл. 18 – 333 (АППГ-219)</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нарушение правил торговли – 226 (АППГ- 257)</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прочие правонарушения – 866 (АППГ-1160)</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Наложено штрафов  на сумму 2334300 руб., взыскано – 1104200 руб. – 47 %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Результаты соблюдения законности и учетно-регистрационной дисциплины:</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Основополагающим фактором в работе всех подразделений является соблюдение законности и учетно-регистрационной дисциплины.</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За 12 месяцев 2014 года работа Отдела была направлена на соблюдение законности и учетно-регистрационной дисциплины, повышения эффективности работы дежурной части подразделения, приведение в соответствие с предъявляемыми требованиями работы канцелярии.</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За 12 месяцев  2014 года зарегистрировано  24 574 заявления и сообщений о правонарушениях  (АППГ –19 592 ):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возбуждено 1564  уголовное дело  (АППГ –1341)</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вынесено постановлений об отказе в возбуждении уголовного дела 5635 (АППГ –5744 )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передано по подследственности или по территориальности –1575  материал (АППГ –1515)</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За 12 месяцев 2013 года из материалов об отказе в возбуждении уголовного дела возбуждено 68  уголовных дела (АППГ –61).</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По фактам нарушений  законности и не принятия должных мер по контролю за соблюдением законности и учетно-регистрационной дисциплины, в отчетном периоде к дисциплинарной ответственности  привлечено 7 сотрудников</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За 12 месяцев  2013 года в ОМВД поступало 11 представлений Бабушкинского прокурора г. Москвы по нарушениям действующего законодательства. По результатам проведенных служебных проверок к дисциплинарной ответственности привлечено 7 сотрудника.</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b/>
          <w:bCs/>
          <w:color w:val="000000"/>
          <w:lang w:val="ru-RU"/>
        </w:rPr>
        <w:t>Взаимодействие с общественностью.</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 С помощью народной дружины выявлено 138 правонарушения и раскрыто 18 преступлений. Председатели ОПОП помогают участковым уполномоченным полиции в профилактической работе, занимаются приемом населения по любым бытовым вопросам.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 </w:t>
      </w:r>
      <w:r w:rsidRPr="00B43A36">
        <w:rPr>
          <w:rFonts w:ascii="Arial" w:hAnsi="Arial" w:cs="Arial"/>
          <w:b/>
          <w:bCs/>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Начальник Отдела МВД России по району</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Северное Медведково г. Москвы    </w:t>
      </w:r>
    </w:p>
    <w:p w:rsidR="00B43A36" w:rsidRPr="00B43A36" w:rsidRDefault="00B43A36" w:rsidP="00B43A36">
      <w:pPr>
        <w:shd w:val="clear" w:color="auto" w:fill="FFFFFF"/>
        <w:spacing w:before="150" w:after="150" w:line="360" w:lineRule="atLeast"/>
        <w:rPr>
          <w:rFonts w:ascii="Arial" w:hAnsi="Arial" w:cs="Arial"/>
          <w:color w:val="000000"/>
          <w:lang w:val="ru-RU"/>
        </w:rPr>
      </w:pPr>
      <w:r w:rsidRPr="00B43A36">
        <w:rPr>
          <w:rFonts w:ascii="Arial" w:hAnsi="Arial" w:cs="Arial"/>
          <w:color w:val="000000"/>
          <w:lang w:val="ru-RU"/>
        </w:rPr>
        <w:t>подполковник полиции                                                                   И.С. Андреев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36"/>
    <w:rsid w:val="009C473A"/>
    <w:rsid w:val="00B43A3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43A3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A36"/>
    <w:rPr>
      <w:rFonts w:ascii="Times" w:hAnsi="Times"/>
      <w:b/>
      <w:bCs/>
      <w:kern w:val="36"/>
      <w:sz w:val="48"/>
      <w:szCs w:val="48"/>
    </w:rPr>
  </w:style>
  <w:style w:type="character" w:customStyle="1" w:styleId="apple-converted-space">
    <w:name w:val="apple-converted-space"/>
    <w:basedOn w:val="a0"/>
    <w:rsid w:val="00B43A36"/>
  </w:style>
  <w:style w:type="paragraph" w:styleId="a3">
    <w:name w:val="Normal (Web)"/>
    <w:basedOn w:val="a"/>
    <w:uiPriority w:val="99"/>
    <w:unhideWhenUsed/>
    <w:rsid w:val="00B43A3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43A36"/>
    <w:rPr>
      <w:b/>
      <w:bCs/>
    </w:rPr>
  </w:style>
  <w:style w:type="character" w:styleId="a5">
    <w:name w:val="Emphasis"/>
    <w:basedOn w:val="a0"/>
    <w:uiPriority w:val="20"/>
    <w:qFormat/>
    <w:rsid w:val="00B43A3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43A3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A36"/>
    <w:rPr>
      <w:rFonts w:ascii="Times" w:hAnsi="Times"/>
      <w:b/>
      <w:bCs/>
      <w:kern w:val="36"/>
      <w:sz w:val="48"/>
      <w:szCs w:val="48"/>
    </w:rPr>
  </w:style>
  <w:style w:type="character" w:customStyle="1" w:styleId="apple-converted-space">
    <w:name w:val="apple-converted-space"/>
    <w:basedOn w:val="a0"/>
    <w:rsid w:val="00B43A36"/>
  </w:style>
  <w:style w:type="paragraph" w:styleId="a3">
    <w:name w:val="Normal (Web)"/>
    <w:basedOn w:val="a"/>
    <w:uiPriority w:val="99"/>
    <w:unhideWhenUsed/>
    <w:rsid w:val="00B43A3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43A36"/>
    <w:rPr>
      <w:b/>
      <w:bCs/>
    </w:rPr>
  </w:style>
  <w:style w:type="character" w:styleId="a5">
    <w:name w:val="Emphasis"/>
    <w:basedOn w:val="a0"/>
    <w:uiPriority w:val="20"/>
    <w:qFormat/>
    <w:rsid w:val="00B43A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3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2337</Words>
  <Characters>13321</Characters>
  <Application>Microsoft Macintosh Word</Application>
  <DocSecurity>0</DocSecurity>
  <Lines>111</Lines>
  <Paragraphs>31</Paragraphs>
  <ScaleCrop>false</ScaleCrop>
  <Company/>
  <LinksUpToDate>false</LinksUpToDate>
  <CharactersWithSpaces>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2015-01-25T20:51:00Z</dcterms:created>
  <dcterms:modified xsi:type="dcterms:W3CDTF">2015-01-25T20:52:00Z</dcterms:modified>
</cp:coreProperties>
</file>