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КУЗЬМИНКИ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48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Отчет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48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начальника отдела МВД России по району Кузьминки г. Москвы об итогах работы ОМВД за 2012 год.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 период 2012 года, работа служб ОМВД по району Кузьминки г. Москвы была направлена на раскрытие и расследование тяжких и особо тяжких преступлений, преступлений против личности, имущественных преступлений, охрану общественного порядка и безопасности граждан, недопущению совершения террористических актов и других противоправных деяний на территории района в период проведения различных праздничных, общественно-политических и культурно-массовых мероприятий, подготовки и проведению выборов Президента Российской Федерации.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 В 2012 году, все мероприятия проводились согласно разработанным и утвержденным планам, чрезвычайных и иных происшествий среди личного состава допущено не было.  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Статистические данные об оперативной обстановке на 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lastRenderedPageBreak/>
        <w:t xml:space="preserve">обслуживаемой территории свидетельствуют о росте числа зарегистрированных преступлений на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18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случаев и составило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406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преступлений против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388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в   2012 г. или на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 xml:space="preserve"> 4,6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%.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Рост произошел по регистрации тяжких преступлений (2013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143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в 2012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92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), особо тяжких (в 2013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в 2011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).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По отдельным видам преступлений произошел рост регистрации таких преступлений как: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убийства (2013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2012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);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- кражи транспортных средств (2013 г. –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2012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15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);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грабежи (2013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79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2012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55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или на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43,6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%);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разбойные нападения (2013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, 2012 г.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);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Возросло также количество преступлений, совершенных в общественных местах (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296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против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264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в 2012 г.) и на улицах (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202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против 1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77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в 2012 г.).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настоящее время с целью предупреждения и пресечения уличных преступлений и преступлений имущественного характера ежедневно личным составом отдела проводились и проводятся локальные мероприятия в вечернее и ночное время в местах, наиболее подверженных данным преступлениям (выходы станции метро «Кузьминки», фонтан «Музыка Славы»). Также, исходя из оперативной обстановки, в вечернее время в указанном районе выставляются дополнительные наряды полиции из числа сотрудников ОР ППСП, УУП и ОУР.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2. Другой не менее важной составляющей является профилактическая работа сотрудников ОМВД, с жителями района и его гостями.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Так к примеру за прошедший период направленно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сообщений в налоговые органы и префектуру ЮВАО о функционировании так называемых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ЛОТО клубов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, так как согласно действующего законодательства, только после проверки данными структурами, обобщает информацию и принимает решение о возбуждении уголовного дела сотрудники МВД.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Хотелось бы отметить проводимую профилактическую работу в сфере борьбы с нелегальной миграцией и иностранной преступности.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В связи с организацией такого структурного подразделения как федеральная миграционная служба, все вопросы с наказанием иностранных граждан, а так же лиц их принимающих, полностью находится в компетенции ФМС. Согласно действующего законодательства, иностранный гражданин, имеющий временную регистрацию на территории субъекта РФ, может спокойно проживать в его пределах. Иначе говоря, иностранный гражданин зарегистрированный на территории Москвы, может проживать в любой ее точке. И принимающая сторона, так же не подлежит ответственности.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Но, несмотря на это, сотрудниками отдела все равно проводится работа в данном направлении, так: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направленно в УФМС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46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писем, с просьбой взять на контроль более 98 адресов;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в налоговые службы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50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писем, с просьбой проверить состояние декларации доходов граждан сдающих квартиры мигрантам;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а так же более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письма в обслуживающие организации, с просьбой проверить наличие считывающих устройств по контролю за расходом воды тепла, электроэнергии и несоответствию их заявленным гражданами, с последующим решением вопроса о привлечении их к ответственности в порядке гражданского производства.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Следующая злободневная тема доклада это общественный порядок на территории мемориального комплекса «Фонтан Музыки Славы» и наличие женщин легкого поведения на Волгоградском проспекте.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Силами сотрудников ОМВД, за период 2012 года с комплекса фонтан Музыка Славы, было доставлено в профилактических целях, а так же за совершение правонарушений и преступлений было доставлено-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4477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граждан.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Из них :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выходцев из стран ближнего зарубежья-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2322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 выходцев из южно- африканских республик –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215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-лиц из СКР -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807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            Привлечены к административной ответственности, из данной категории -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1154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гражданина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            Раскрыто деятельность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3-х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преступных групп, сплотившихся по принципу землячества (СКР), занимавшихся грабежами и разбоями на данном участке, а так же раскрыто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30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преступлений, свеянных с нападением на граждан с целью хищения их имущества. (краж-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, грабежей-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11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, разбоев-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b/>
          <w:bCs/>
          <w:color w:val="19396C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 xml:space="preserve"> ст. 105). Однако проведения данной работы недостаточно, и данный вопрос еще остро стоит на повестке дня.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И на последок хотелось бы обратиться к гражданам.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Формирование оптимизированной, качественной структуры полиции дело каждого гражданина РФ. Поэтому у кого есть желание лично принять участие в обеспечении порядка и спокойствия граждан, в организации нового облика полицейского РФ, помогать и оберегать, при этом имеющие высшее юридическое образование, поступайте на службу в органы МВД и может именно Вы, станете тем, кто вернет престижность и популярность данной профессии.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Спасибо.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</w:t>
      </w:r>
    </w:p>
    <w:p w:rsidR="00A446D3" w:rsidRDefault="00A446D3" w:rsidP="00A446D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 </w:t>
      </w:r>
    </w:p>
    <w:p w:rsidR="009C473A" w:rsidRDefault="00A446D3" w:rsidP="00A446D3"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D3"/>
    <w:rsid w:val="009C473A"/>
    <w:rsid w:val="00A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4662</Characters>
  <Application>Microsoft Macintosh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2013-03-18T09:41:00Z</dcterms:created>
  <dcterms:modified xsi:type="dcterms:W3CDTF">2013-03-18T09:42:00Z</dcterms:modified>
</cp:coreProperties>
</file>