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342" w:rsidRPr="00A34342" w:rsidRDefault="00A34342" w:rsidP="00A34342">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A34342">
        <w:rPr>
          <w:rFonts w:ascii="Arial" w:eastAsia="Times New Roman" w:hAnsi="Arial" w:cs="Arial"/>
          <w:color w:val="000000"/>
          <w:spacing w:val="-15"/>
          <w:kern w:val="36"/>
          <w:sz w:val="30"/>
          <w:szCs w:val="30"/>
          <w:lang w:val="ru-RU"/>
        </w:rPr>
        <w:t>Отчет начальника ОМВД России по району Люблино за 2014 год</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Основные усилия личного состава отдела внутренних дел в истекшем периоде были направлены на решение задач, поставленных перед органами и подразделениями внутренних дел и внутренними войсками в Директиве Министра внутренних дел Российской Федерации. Вследствие чего основные силы были сосредоточены на расследование тяжких и особо тяжких преступлений, борьбу с незаконным оборотом оружия и наркотиков, совершенствование профилактической деятельности, укрепление учетно-регистрационной дисциплины, максимальное обеспечение законных интересов и прав граждан, противодействие преступлений в сфере экономической безопасности.</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Принимались дополнительные меры по совершенствованию системы реагирования на обращения граждан, укреплению законности при приеме и разрешении сообщений и заявлений о преступлениях, административных правонарушениях и происшествиях, по улучшению организации работы по раскрытию преступлений, в том числе и по раскрытию ранее совершенных преступлений и преступлений прошлых лет.</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Кроме этого, в 2014 году сотрудниками отдела обеспечивался правопорядок и безопасность граждан при проведении культурно-массовых мероприятий и религиозных праздников.</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Общими усилиями удалось не допустить совершения террористических актов и нарушений общественного порядка в период проведения указанных мероприятий. Сейчас можно говорить, что благодаря координации усилий органов власти, правоохранительных и государственных служб района была обеспечена надлежащая безопасность при проведении всех вышеуказанных мероприятий.</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За 12 месяцев 2014 количество зарегистрированных на территории района преступлений увеличилось на 7,5% и составило 2334 преступления или на 162 преступления больше аналогичного периода прошлого года.</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За 12 месяцев отчетного года наблюдается увеличение количества регистрируемых тяжких преступлений к аналогичному периоду прошлого года на 27 и составляет +5% . Раскрываемость составила 28,7% (прошлый год 29,5%).</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За отчетный период наблюдается рост особо тяжких преступлений, который составил 35</w:t>
      </w:r>
      <w:r w:rsidRPr="00A34342">
        <w:rPr>
          <w:rFonts w:ascii="Arial" w:hAnsi="Arial" w:cs="Arial"/>
          <w:b/>
          <w:bCs/>
          <w:color w:val="000000"/>
          <w:lang w:val="ru-RU"/>
        </w:rPr>
        <w:t>,7%</w:t>
      </w:r>
      <w:r w:rsidRPr="00A34342">
        <w:rPr>
          <w:rFonts w:ascii="Arial" w:hAnsi="Arial" w:cs="Arial"/>
          <w:color w:val="000000"/>
          <w:lang w:val="ru-RU"/>
        </w:rPr>
        <w:t xml:space="preserve"> (+41). Увеличение количества тяжких и особо тяжких преступлений произошло за счет преступлений связанных со сбытом наркотических средств, которые возбуждены в результате смерти от передозировки лиц, употребляющих наркотические вещества без назначения врача, а также по фактам сбыта наркотических препаратов приобретенных через электронные терминалы оплаты. Не смотря на то, что в 2014 г. по сбыту </w:t>
      </w:r>
      <w:r w:rsidRPr="00A34342">
        <w:rPr>
          <w:rFonts w:ascii="Arial" w:hAnsi="Arial" w:cs="Arial"/>
          <w:color w:val="000000"/>
          <w:lang w:val="ru-RU"/>
        </w:rPr>
        <w:lastRenderedPageBreak/>
        <w:t>наркотических средств выявлено на 57 преступлений больше, в суд направлено на 11 уголовных дел меньше (с 31 до 20) раскрываемость данного вида преступлений снизилась с 22,3% до 11,1%.</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Всего по линии незаконного оборота наркотических средств выявлено 383 преступления, в прошлом году 238. В суд направлено на 56,6% больше (177, АППГ-113). Кроме этого за отчетный период сотрудниками отдела выявлено 6  наркопритонов. В 2013 году таких притонов было выявлено 4.</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В текущем году на территории района зарегистрировано 196 фактов сбыта наркотических веществ (АППГ-139)</w:t>
      </w:r>
      <w:r w:rsidRPr="00A34342">
        <w:rPr>
          <w:rFonts w:ascii="Arial" w:hAnsi="Arial" w:cs="Arial"/>
          <w:b/>
          <w:bCs/>
          <w:color w:val="000000"/>
          <w:lang w:val="ru-RU"/>
        </w:rPr>
        <w:t>,</w:t>
      </w:r>
      <w:r w:rsidRPr="00A34342">
        <w:rPr>
          <w:rFonts w:ascii="Arial" w:hAnsi="Arial" w:cs="Arial"/>
          <w:color w:val="000000"/>
          <w:lang w:val="ru-RU"/>
        </w:rPr>
        <w:t> а в суд направлено всего 20 (АППГ-31). Это обусловлено тем, что приобретаются наркотические препараты путем перечисления денежных средств через платежные терминалы и получением наркотических веществ путем закладок, что затрудняет проведение ОРМ при раскрытию данного вида преступлений.</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Вместе с тем, сложной остается ситуация с мошенничеством, за 2014 год было зарегистрировано 204 преступления связанных с обманом граждан, что больше чем в прошлом году на 72,9%. При этом остаток нераскрытых преступлений связанных с мошенничеством также увеличился на 74,2%. Более трети всех совершенных мошенничеств совершены в отношении пожилых людей. В раскрытии таких преступлений необходимо взаимодействие уголовного розыска с участковыми уполномоченными полиции. В данной ситуации эти преступления становятся наиболее резонансными, поскольку потерпевшими остаются наименее защищенные слои граждан, это пожилые жители нашего района. Активизацию работы как по раскрытию, так по профилактике данных преступлений считаю одной из приоритетных задач в предстоящем периоде.  </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Проведенный анализ криминогенной ситуации на территории обслуживания указывает на одновременное увеличение количества зарегистрированных преступлений как по линии следствие обязательно 1204 (+126), так и линии дознания 1130 (+36). При этом снизилась раскрываемость по линии следствия на 9,2%, по линии дознания на 6,6%. А остаток нераскрытых увеличился на 12,6% и 6,8% соответственно.</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При снижении преступлений насильственно-имущественной направленности это – грабежей (снижение на 25,0%), разбоев (снижение на 15,0%), увеличилось количество убийств (+2), умышленного причинения  тяжкого вреда здоровью (+9), в том числе со смертельным исходом (+2), мошенничеств (+86), вымогательств (+1) и сбыта наркотических веществ (+57).</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Данная ситуация требует оперативного реагирования на сложившуюся криминогенную обстановку на территории района.  Изменение ее напрямую зависит от профессиональности сотрудников уголовного розыска. Способности адекватно реагировать на изменение структуры преступности на территории ответственности.</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Необходимо отметить, что принимаемыми мерами профилактического характера удалось снизить количество совершаемых на улицах преступлений с 1195 до 1155 (-3,3%), однако увеличилось количество совершенных преступлений в общественных местах с 1391 до 1511 или на 120 преступлений (+15%).</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Немаловажное значение в формировании благоприятного общественного мнения о работе полиции имеет своевременное реагирование на заявления и сообщения граждан о совершенных преступлениях и правонарушениях.</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За 12 месяцев 2014 года от граждан поступило 42460  заявлений, сообщений и иной информации о совершенных преступлениях и правонарушениях на территории района (АППГ-37131 (+8,7%)). Всего было зарегистрировано 670 обращений граждан, предложений 1, жалоб на действия и бездействие сотрудников 14, из которых 13 не поддержаны, по результатам рассмотрения 1 жалобы сотрудник привлечен к дисциплинарной ответственности. Каждое сообщение рассмотрено, проведены проверки и приняты процессуальные решения. Необходимо сказать, что нагрузка на сотрудников полиции по сравнению с прошлым годом возросла. Среднесуточная нагрузка на дежурный наряд составляет более 110 сообщений и является самой большой на территории Округа.</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Говоря о правопорядке на территории нашего района, необходимо отразить еще один аспект деятельности органов внутренних дел. Это выявление и пресечение административных правонарушений, что также оказывает профилактическое влияние на состояние преступности.</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Всего за 12 месяцев к административной ответственности привлечено 4285 человек, из которых 2672 за распитие спиртных напитков в общественных местах.</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Одним из основных направлений деятельности органов внутренних дел является выявление нарушений миграционного законодательства. В текущем году сотрудниками отдела выявлено 295 административных правонарушений. Это на 803 нарушения меньше АППГ. По решению суда за пределы Российской Федерации выдворено 261 человек. Осуждено приговором суда 115 иностранных граждан.</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На лиц, допустивших проживание иностранных граждан                   в квартирах с нарушением действующего законодательства составлено 20 административных протоколов (АППГ- 21).</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На постоянной основе проводится работа с иностранными гражданами, находящимися на территории обслуживания. В отдел было доставлено и отработано 143 транспортных средства с иностранными регистрационными номерными знаками под управлением иностранных граждан. </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Кроме этого, по материалам участковых уполномоченных                 в отношении лиц организовавших незаконное проживание возбуждено 4 уголовных дела по ст. 322 УК РФ. По данному направлению работа продолжается. Обращаю внимание на необходимость более активной работы по выявлению нарушений миграционного законодательства, с учетом недавно внесенных дополнений к статье 322 УК РФ.</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В настоящее время на территории обслуживания имеется 9 общественных пунктов охраны порядка. В целях активизации данного направления работы в прошлом году вопросы взаимодействия ОПОПов и отделения участковых уполномоченных полиции неоднократно рассматривались на рабочих совещаниях при начальнике Отдела, где обсуждались проблемные вопросы, а также вырабатывались единые направления в деятельности профилактики правонарушений.</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Важнейшим приоритетом служебной деятельности на протяжении всего года являлось и остается предупреждение правонарушений среди несовершеннолетних, защита жизни, здоровья, прав и законных интересов детей.</w:t>
      </w:r>
    </w:p>
    <w:p w:rsidR="00A34342" w:rsidRPr="00A34342" w:rsidRDefault="00A34342" w:rsidP="00A34342">
      <w:pPr>
        <w:shd w:val="clear" w:color="auto" w:fill="FFFFFF"/>
        <w:spacing w:before="150" w:after="150" w:line="360" w:lineRule="atLeast"/>
        <w:rPr>
          <w:rFonts w:ascii="Arial" w:hAnsi="Arial" w:cs="Arial"/>
          <w:color w:val="000000"/>
          <w:lang w:val="ru-RU"/>
        </w:rPr>
      </w:pPr>
      <w:r w:rsidRPr="00A34342">
        <w:rPr>
          <w:rFonts w:ascii="Arial" w:hAnsi="Arial" w:cs="Arial"/>
          <w:color w:val="000000"/>
          <w:lang w:val="ru-RU"/>
        </w:rPr>
        <w:t>За различные правонарушения с улиц района изъято и доставлено 115 несовершеннолетних правонарушителей, из них 6 помещено в Центр временного содержания. В медицинские учреждения - 29. За ненадлежащее воспитание к административной ответственности привлечено 104 родителя.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342"/>
    <w:rsid w:val="009C473A"/>
    <w:rsid w:val="00A3434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34342"/>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4342"/>
    <w:rPr>
      <w:rFonts w:ascii="Times" w:hAnsi="Times"/>
      <w:b/>
      <w:bCs/>
      <w:kern w:val="36"/>
      <w:sz w:val="48"/>
      <w:szCs w:val="48"/>
    </w:rPr>
  </w:style>
  <w:style w:type="character" w:customStyle="1" w:styleId="apple-converted-space">
    <w:name w:val="apple-converted-space"/>
    <w:basedOn w:val="a0"/>
    <w:rsid w:val="00A34342"/>
  </w:style>
  <w:style w:type="paragraph" w:styleId="a3">
    <w:name w:val="Normal (Web)"/>
    <w:basedOn w:val="a"/>
    <w:uiPriority w:val="99"/>
    <w:unhideWhenUsed/>
    <w:rsid w:val="00A34342"/>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34342"/>
    <w:rPr>
      <w:b/>
      <w:bCs/>
    </w:rPr>
  </w:style>
  <w:style w:type="paragraph" w:customStyle="1" w:styleId="21">
    <w:name w:val="21"/>
    <w:basedOn w:val="a"/>
    <w:rsid w:val="00A34342"/>
    <w:pPr>
      <w:spacing w:before="100" w:beforeAutospacing="1" w:after="100" w:afterAutospacing="1"/>
    </w:pPr>
    <w:rPr>
      <w:rFonts w:ascii="Times" w:hAnsi="Times"/>
      <w:sz w:val="20"/>
      <w:szCs w:val="20"/>
      <w:lang w:val="ru-RU"/>
    </w:rPr>
  </w:style>
  <w:style w:type="paragraph" w:customStyle="1" w:styleId="11">
    <w:name w:val="1"/>
    <w:basedOn w:val="a"/>
    <w:rsid w:val="00A34342"/>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34342"/>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4342"/>
    <w:rPr>
      <w:rFonts w:ascii="Times" w:hAnsi="Times"/>
      <w:b/>
      <w:bCs/>
      <w:kern w:val="36"/>
      <w:sz w:val="48"/>
      <w:szCs w:val="48"/>
    </w:rPr>
  </w:style>
  <w:style w:type="character" w:customStyle="1" w:styleId="apple-converted-space">
    <w:name w:val="apple-converted-space"/>
    <w:basedOn w:val="a0"/>
    <w:rsid w:val="00A34342"/>
  </w:style>
  <w:style w:type="paragraph" w:styleId="a3">
    <w:name w:val="Normal (Web)"/>
    <w:basedOn w:val="a"/>
    <w:uiPriority w:val="99"/>
    <w:unhideWhenUsed/>
    <w:rsid w:val="00A34342"/>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34342"/>
    <w:rPr>
      <w:b/>
      <w:bCs/>
    </w:rPr>
  </w:style>
  <w:style w:type="paragraph" w:customStyle="1" w:styleId="21">
    <w:name w:val="21"/>
    <w:basedOn w:val="a"/>
    <w:rsid w:val="00A34342"/>
    <w:pPr>
      <w:spacing w:before="100" w:beforeAutospacing="1" w:after="100" w:afterAutospacing="1"/>
    </w:pPr>
    <w:rPr>
      <w:rFonts w:ascii="Times" w:hAnsi="Times"/>
      <w:sz w:val="20"/>
      <w:szCs w:val="20"/>
      <w:lang w:val="ru-RU"/>
    </w:rPr>
  </w:style>
  <w:style w:type="paragraph" w:customStyle="1" w:styleId="11">
    <w:name w:val="1"/>
    <w:basedOn w:val="a"/>
    <w:rsid w:val="00A34342"/>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69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1314</Words>
  <Characters>7493</Characters>
  <Application>Microsoft Macintosh Word</Application>
  <DocSecurity>0</DocSecurity>
  <Lines>62</Lines>
  <Paragraphs>17</Paragraphs>
  <ScaleCrop>false</ScaleCrop>
  <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2015-01-24T18:19:00Z</dcterms:created>
  <dcterms:modified xsi:type="dcterms:W3CDTF">2015-01-24T18:19:00Z</dcterms:modified>
</cp:coreProperties>
</file>