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EC6" w:rsidRPr="00514EC6" w:rsidRDefault="00514EC6" w:rsidP="00514EC6">
      <w:pPr>
        <w:shd w:val="clear" w:color="auto" w:fill="FFFFFF"/>
        <w:outlineLvl w:val="0"/>
        <w:rPr>
          <w:rFonts w:ascii="Arial" w:eastAsia="Times New Roman" w:hAnsi="Arial" w:cs="Arial"/>
          <w:color w:val="000000"/>
          <w:kern w:val="36"/>
          <w:sz w:val="30"/>
          <w:szCs w:val="30"/>
          <w:lang w:val="ru-RU"/>
        </w:rPr>
      </w:pPr>
      <w:r w:rsidRPr="00514EC6">
        <w:rPr>
          <w:rFonts w:ascii="Arial" w:eastAsia="Times New Roman" w:hAnsi="Arial" w:cs="Arial"/>
          <w:color w:val="000000"/>
          <w:kern w:val="36"/>
          <w:sz w:val="30"/>
          <w:szCs w:val="30"/>
          <w:lang w:val="ru-RU"/>
        </w:rPr>
        <w:t>Информационно-аналитическая записка начальника ОМВД России по Нижегородскому району</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Отчет начальника Отдела МВД России по Нижегородскому району г. Москвы перед Руководителем муниципального образования Нижегородского района города Москвы по вопросу «Об итогах оперативно-служебной деятельности подразделений Отдела МВД России по Нижегородскому району г. Москвы за  2015 год»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(26 января 2016 года)</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Уважаемый Манвэл Седракович!</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Уважаемые депутаты!</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Основой оперативно-служебной деятельности служб и подразделений Отдела МВД России по Нижегородскому району г. Москвы, в отчетном периоде являлась концентрация усилий, направленных на повышение эффективности противодействия правонарушениям и преступлениям в соответствии с требованиями Директивы МВД России от 12 декабря 2014 года № 2ДСП «О приоритетных направлениях деятельности органов внутренних дел Российской Федерации и внутренних войск МВД России в 2015 году», а также на принятие комплексных мер в обновлении подходов по тесному взаимодействию общества с органами внутренних дел.</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xml:space="preserve">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и религиозных праздников. </w:t>
      </w:r>
      <w:r w:rsidRPr="00514EC6">
        <w:rPr>
          <w:rFonts w:ascii="Arial" w:hAnsi="Arial" w:cs="Arial"/>
          <w:color w:val="000000"/>
          <w:lang w:val="ru-RU"/>
        </w:rPr>
        <w:lastRenderedPageBreak/>
        <w:t>Должная организация взаимодействия органов власти и ОМВД позволили не допустить дестабилизации оперативной обстановки и нарушений общественного порядка при их проведении.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Максимальные усилия сотрудников ОМВД в течение отчетного периода были направлены на решение основной задачи полиции – защиты конституционных прав и свобод человека и гражданина, а также на дальнейшее совершенствование деятельности по рассмотрению заявлений о преступлениях и принятию по ним процессуальных решений, профилактику правонарушений.  В первую очередь это:</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514EC6">
        <w:rPr>
          <w:rFonts w:ascii="Arial" w:eastAsia="Times New Roman" w:hAnsi="Arial" w:cs="Arial"/>
          <w:b/>
          <w:bCs/>
          <w:color w:val="000000"/>
          <w:lang w:val="ru-RU"/>
        </w:rPr>
        <w:t>Деятельность по своевременному и обоснованному принятию решений по заявлениям и обращениям граждан:</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В отчетном периоде в ОМВД посредством почтовой связи поступило 159 обращений граждан (АППГ – 184). Повторных обращений не зарегистрировано (АППГ – 2). Обеспечено проведение личного приема граждан руководителями ОМВД. В ходе личного приема зарегистрировано 52 заявлений граждан, из которых 29 – по фактам несогласия с принятыми решениями об отказе в возбуждении уголовных дел, 13 – по фактам несанкционированной торговли и 10 – жалобы на действия соседей и непринятие участковыми уполномоченными действенных мер по обращениям. При рассмотрении данного вопроса на итоговом совещании в ОМВД поставлены соответствующие задачи по ужесточению контроля за полнотой и сроками проведения проверок и принятия решений участковыми уполномоченными по жалобам  граждан.</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2.  </w:t>
      </w:r>
      <w:r w:rsidRPr="00514EC6">
        <w:rPr>
          <w:rFonts w:ascii="Arial" w:hAnsi="Arial" w:cs="Arial"/>
          <w:b/>
          <w:bCs/>
          <w:color w:val="000000"/>
          <w:lang w:val="ru-RU"/>
        </w:rPr>
        <w:t>Организация работы в части пресечения имущественных преступлений: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на 17,4% больше по сравнению с АППГ раскрыто и направлено в суд преступлений, связанных с кражами имущества граждан и организаций различных форм собственности (169 против 144), в том числе 5 против 2-х за АППГ кражи из квартир граждан.</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в то же время значительно снижены результаты работы по раскрытию преступлений, связанных с разбойными нападениями (роста регистрации не допущено, в суд направлено всего 2 уголовных дела против 4 за АППГ) и грабежами (при росте регистрации с 42 до 49 преступлений снижение количества направленных в суд уголовных дел с 16 до 14 или на 12,5%);</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3</w:t>
      </w:r>
      <w:r w:rsidRPr="00514EC6">
        <w:rPr>
          <w:rFonts w:ascii="Arial" w:hAnsi="Arial" w:cs="Arial"/>
          <w:b/>
          <w:bCs/>
          <w:color w:val="000000"/>
          <w:lang w:val="ru-RU"/>
        </w:rPr>
        <w:t>. В сфере противодействия нелегальной миграции: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За отчетный период силами сотрудников ОМВД:</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возбуждено 14 уголовных дел в отношении организаторов нелегальной миграции (АППГ – 5) и 7 уголовных дел по факту использования поддельных разрешений на право занятия трудовой деятельностью (АППГ – 11);</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проведено 94 рейда в ходе которых в ОМВД было доставлено и отработано 4116 представителей ближнего и дальнего зарубежья,  выявлено 130 нелегальных мигрантов из числа иностранных граждан, в отношении которых составлено 130 административных материалов в сфере нелегальной миграции;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В целях профилактики и снижения остроты проблем, связанных с проявлениями экстремизма и преступлениями на их фоне, в том числе со стороны членов неформальных молодежных объединений, в отчетном периоде было проведено 73 обследований гостиниц, общежитий и других объектов массового проживания иностранных граждан, представляющих оперативный интерес</w:t>
      </w:r>
      <w:r w:rsidRPr="00514EC6">
        <w:rPr>
          <w:rFonts w:ascii="Arial" w:hAnsi="Arial" w:cs="Arial"/>
          <w:i/>
          <w:iCs/>
          <w:color w:val="000000"/>
          <w:lang w:val="ru-RU"/>
        </w:rPr>
        <w:t>.</w:t>
      </w:r>
      <w:r w:rsidRPr="00514EC6">
        <w:rPr>
          <w:rFonts w:ascii="Arial" w:hAnsi="Arial" w:cs="Arial"/>
          <w:color w:val="000000"/>
          <w:lang w:val="ru-RU"/>
        </w:rPr>
        <w:t> Выявлено, проверено и отработано по имеющимся информационным базам данных 5247 граждан из стран ближнего зарубежья, из них на 328 человек составлены протоколы об административном правонарушении, на 79 человек – материалы на выдворение. По алгоритму НОРИ отработан 491 человек.</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4. </w:t>
      </w:r>
      <w:r w:rsidRPr="00514EC6">
        <w:rPr>
          <w:rFonts w:ascii="Arial" w:hAnsi="Arial" w:cs="Arial"/>
          <w:b/>
          <w:bCs/>
          <w:color w:val="000000"/>
          <w:lang w:val="ru-RU"/>
        </w:rPr>
        <w:t>В сфере противодействия распространению наркомании: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в отчетном периоде по сравнению с прошлым годом существенно улучшены результаты работы по раскрытию преступлений в данном направлении: в отчетном периоде выявлено, задокументировано и направлено в суд 26 преступлений (против 25 за АППГ) связанных с хранением наркотиков и 8 уголовных дел (против 3 за АППГ) – по сбыту наркотических средств.</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Также одним из приоритетных направлений служебной деятельности на протяжении отчетного периода являлось и остается предупреждение правонарушений среди несовершеннолетних, защита жизни, здоровья, прав и законных интересов детей.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По итогам отчетного периода группой по делам несовершеннолетних</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было выявлено 71 административное правонарушение (АППГ – 69), совершенных как несовершеннолетними, так и их родителями в части ненадлежащего исполнения родительских обязанностей; на 9 % снизилось количество доставленных в ОМВД несовершеннолетних (108 против 122 за АППГ);  на 66 % больше несовершеннолетних помещено в ЦВСНП ГУ МВД России по г. Москве (5 против 3 за АППГ); незначительно возросло количество выявленных и поставленных на профилактический учет  несовершеннолетних (23 против 20 за АППГ), в то же время снизилось количество поставленных на профилактический учет родителей, ненадлежащим образом исполняющих родительские обязанности (17 против 19 за АППГ). Необходимо отметить резкий рост зарегистрированных преступлений из числа направленных в суд, совершенных несовершеннолетними (с 6 до 21 случая), при этом только 2 преступления из зарегистрированных в отчетном периоде, совершены подростками, проживающими на обслуживаемой территории.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jc w:val="center"/>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jc w:val="center"/>
        <w:rPr>
          <w:rFonts w:ascii="Arial" w:hAnsi="Arial" w:cs="Arial"/>
          <w:color w:val="000000"/>
          <w:lang w:val="ru-RU"/>
        </w:rPr>
      </w:pPr>
      <w:r w:rsidRPr="00514EC6">
        <w:rPr>
          <w:rFonts w:ascii="Arial" w:hAnsi="Arial" w:cs="Arial"/>
          <w:color w:val="000000"/>
          <w:lang w:val="ru-RU"/>
        </w:rPr>
        <w:t>Уважаемые товарищи!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Могу сказать, что по итогам отчетного периода возросло общее количество преступлений, зарегистрированных на территории района </w:t>
      </w:r>
      <w:r w:rsidRPr="00514EC6">
        <w:rPr>
          <w:rFonts w:ascii="Arial" w:hAnsi="Arial" w:cs="Arial"/>
          <w:i/>
          <w:iCs/>
          <w:color w:val="000000"/>
          <w:lang w:val="ru-RU"/>
        </w:rPr>
        <w:t>на 13,2 %  или с 1065 до 1206 преступлений</w:t>
      </w:r>
      <w:r w:rsidRPr="00514EC6">
        <w:rPr>
          <w:rFonts w:ascii="Arial" w:hAnsi="Arial" w:cs="Arial"/>
          <w:color w:val="000000"/>
          <w:lang w:val="ru-RU"/>
        </w:rPr>
        <w:t>, при росте среднеокружного показателя  на 14,3 %. Рост регистрации имеет место по причине допущения значительного роста краж небольшой и средней тяжести, совершенных в общественных местах (+14,2% или                       на 107 преступлений), роста краж из квартир граждан (с 20 до 30 преступлений), роста грабежей (с 42 до 49преступлений).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В отчетном периоде отмечается увеличение количества направленных в суд уголовных дел на 5.7% или с 315 до 333 уголовных дел (Округ +2,2%), однако значительноулучшить результаты работы по борьбе с преступлениями общеуголовной направленности в 2015 году  не удалось, поскольку, в связи ростом количества совершенных преступлений, раскрываемость по оконченным уголовным делам, как и в среднем по Округу, снизилась на 12,2%  (Округ -11,25%). </w:t>
      </w:r>
      <w:r w:rsidRPr="00514EC6">
        <w:rPr>
          <w:rFonts w:ascii="Arial" w:hAnsi="Arial" w:cs="Arial"/>
          <w:color w:val="000000"/>
          <w:lang w:val="ru-RU"/>
        </w:rPr>
        <w:t>Данная ситуация имеет место по причине недостаточной работы по борьбе с такими видами преступлений как:</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r w:rsidRPr="00514EC6">
        <w:rPr>
          <w:rFonts w:ascii="Arial" w:hAnsi="Arial" w:cs="Arial"/>
          <w:b/>
          <w:bCs/>
          <w:color w:val="000000"/>
          <w:lang w:val="ru-RU"/>
        </w:rPr>
        <w:t>кражи имущества граждан</w:t>
      </w:r>
      <w:r w:rsidRPr="00514EC6">
        <w:rPr>
          <w:rFonts w:ascii="Arial" w:hAnsi="Arial" w:cs="Arial"/>
          <w:color w:val="000000"/>
          <w:lang w:val="ru-RU"/>
        </w:rPr>
        <w:t>: с одной стороны допущен рост регистрации краж (на 14,7 %), с другой – раскрываемость данного вида преступлений снизилась на 6,5 %. Соответственно имеем рост приостановленных уголовных дел на 28,1%.</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грабежи</w:t>
      </w:r>
      <w:r w:rsidRPr="00514EC6">
        <w:rPr>
          <w:rFonts w:ascii="Arial" w:hAnsi="Arial" w:cs="Arial"/>
          <w:color w:val="000000"/>
          <w:lang w:val="ru-RU"/>
        </w:rPr>
        <w:t>: рост регистрации на 16,7%, снижение раскрываемости на 40,0%, рост приостановленных уголовных дел на 90,5%.</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Допущение роста регистрации указанных категорий преступлений объективно связано с общим осложнением экономической обстановки как в Москве, так и в государстве в целом, что соответственно повлекло снижение доходов населения и повышение стоимости потребительской корзины.</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С другой стороны, анализ условий из-за которых имеем снижение результативности по борьбе с отмеченными видами преступлений показал, что причинами сложившейся ситуации являются:</w:t>
      </w:r>
    </w:p>
    <w:p w:rsidR="00514EC6" w:rsidRPr="00514EC6" w:rsidRDefault="00514EC6" w:rsidP="00514EC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514EC6">
        <w:rPr>
          <w:rFonts w:ascii="Arial" w:eastAsia="Times New Roman" w:hAnsi="Arial" w:cs="Arial"/>
          <w:color w:val="000000"/>
          <w:lang w:val="ru-RU"/>
        </w:rPr>
        <w:t>Недостаточная профилактика со стороны участковых уполномоченных и патрульно-постовой службы.</w:t>
      </w:r>
    </w:p>
    <w:p w:rsidR="00514EC6" w:rsidRPr="00514EC6" w:rsidRDefault="00514EC6" w:rsidP="00514EC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514EC6">
        <w:rPr>
          <w:rFonts w:ascii="Arial" w:eastAsia="Times New Roman" w:hAnsi="Arial" w:cs="Arial"/>
          <w:color w:val="000000"/>
          <w:lang w:val="ru-RU"/>
        </w:rPr>
        <w:t>Крайне слабые результаты работы по раскрытию преступлений «по горячим следам».</w:t>
      </w:r>
    </w:p>
    <w:p w:rsidR="00514EC6" w:rsidRPr="00514EC6" w:rsidRDefault="00514EC6" w:rsidP="00514EC6">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514EC6">
        <w:rPr>
          <w:rFonts w:ascii="Arial" w:eastAsia="Times New Roman" w:hAnsi="Arial" w:cs="Arial"/>
          <w:color w:val="000000"/>
          <w:lang w:val="ru-RU"/>
        </w:rPr>
        <w:t>Слабое использование и недостаточный контроль за работой приданных сил в части охраны общественного порядка со стороны руководителей     ОВ ППСП и ООП ОМВД.</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r w:rsidRPr="00514EC6">
        <w:rPr>
          <w:rFonts w:ascii="Arial" w:hAnsi="Arial" w:cs="Arial"/>
          <w:b/>
          <w:bCs/>
          <w:color w:val="000000"/>
          <w:lang w:val="ru-RU"/>
        </w:rPr>
        <w:t>Переходя к оценке деятельности служб Отдела хочу остановить ваше внимание на результатах работы подразделений, непосредственно пересекающихся с населением.</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Так, в отчетном периоде силами сотрудников уголовного  розыска  из числа направленных в суд раскрыто  77 преступлений (АППГ – 74), при положительной  динамике на 3 преступления, нагрузка на одного сотрудника составила – 11 преступлений, что выше среднеокружного показателя (8,63) и является третьим показателем по Округу.</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Однако отмечается недостаточная организация работы по раскрытию преступлений, связанных с грабежами, разбойными нападениями, по борьбе с незаконным оборотом оружия;  отсутствуют результаты работы по выявлению и документированию притонов, как для занятий проституцией так и наркомании.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Оценивая работу участковых уполномоченных полиции  хочу сразу отметитьснижениерезультатов работы данной службы в установлении лиц, совершивших преступления  на 22 % (в абсолютных цифрах -  на 8 преступлений).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По нагрузочным показателям на одного сотрудника служба занимает девятое место среди аналогичных подразделений Окружного Управления.  В отчетном периоде из числа направленных в суд участковыми уполномоченными раскрыто  40 преступлений (АППГ – 48). Слабо организована работа по выявлению и документированию преступлений двойной превенции, совершенных в жилом секторе и общежитиях района.</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i/>
          <w:iCs/>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При оценке работы Отдельного взвода патрульно-постовой службы  по раскрытию преступлений и выявлению административных правонарушений сотрудниками ППСП</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Отмечается незначительное увеличение результатов работы по раскрытию преступлений по сравнению с АППГ (с 21 до 24 преступлений). Однако, за отчетный период из 53 уличных преступлений, совершенных на маршруте патрулирования ГНР,  было раскрыто всего 5, что говорит о крайне недостаточной работе патрульно-постовой службы по пресечению и раскрытию преступлений «по горячим следам». Данная ситуация в течение первого полугодия имела место по причине того, что в течение пяти месяцев должность командира ОВ ППСП была вакантной, однако во втором полугодии ситуация кардинально не изменилась. Результаты работы патрульно–постовой службы по профилактике преступлений путем использования норм административного законодательства по сравнению с АППГ снизились на 15%, что говорит об ослаблении контроля за работой патрульно-постовой службы со стороны как командира отдельного взвода, так и руководителей по линии охраны общественного порядка.</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По нагрузочным показателям по раскрытию преступлений</w:t>
      </w:r>
      <w:r w:rsidRPr="00514EC6">
        <w:rPr>
          <w:rFonts w:ascii="Arial" w:hAnsi="Arial" w:cs="Arial"/>
          <w:color w:val="000000"/>
          <w:lang w:val="ru-RU"/>
        </w:rPr>
        <w:t> на одного сотрудника Отдел занимает пятое место среди аналогичных подразделений Окружного управления.</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i/>
          <w:iCs/>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i/>
          <w:iCs/>
          <w:color w:val="000000"/>
          <w:lang w:val="ru-RU"/>
        </w:rPr>
        <w:t>С положительной стороны можно отметить работу по предупреждению, пресечению и раскрытию таких видов преступлений, как:</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преступления, связанные с незаконным оборотом наркотиков:</w:t>
      </w:r>
      <w:r w:rsidRPr="00514EC6">
        <w:rPr>
          <w:rFonts w:ascii="Arial" w:hAnsi="Arial" w:cs="Arial"/>
          <w:color w:val="000000"/>
          <w:lang w:val="ru-RU"/>
        </w:rPr>
        <w:t> при снижении  регистрации на 9,7%  количество направленных в суд возросло на 21,4%), причем при снижении регистрации сбытов наркотиков  на 22,1%  количество направленных в суд уголовных дел возросло на 166% (с 3 до 8).</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кражи автотранспорта:</w:t>
      </w:r>
      <w:r w:rsidRPr="00514EC6">
        <w:rPr>
          <w:rFonts w:ascii="Arial" w:hAnsi="Arial" w:cs="Arial"/>
          <w:color w:val="000000"/>
          <w:lang w:val="ru-RU"/>
        </w:rPr>
        <w:t> при значительном снижении регистрации на 41,1%, количество уголовных дел данного состава направленных в суд, осталось на прежнем уровне, приостановлено на 33,3% уголовных дел меньше чем за АППГ.</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умышленное причинение вреда здоровью средней тяжести:</w:t>
      </w:r>
      <w:r w:rsidRPr="00514EC6">
        <w:rPr>
          <w:rFonts w:ascii="Arial" w:hAnsi="Arial" w:cs="Arial"/>
          <w:color w:val="000000"/>
          <w:lang w:val="ru-RU"/>
        </w:rPr>
        <w:t> при снижении регистрации с 6 до 5 преступлений. в суд направлено 4 уголовных дела против 1 за АППГ.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i/>
          <w:iCs/>
          <w:color w:val="000000"/>
          <w:lang w:val="ru-RU"/>
        </w:rPr>
        <w:t>С отрицательной стороны отмечается работа по пресечению и раскрытию таких составов, как:</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разбойные нападения:</w:t>
      </w:r>
      <w:r w:rsidRPr="00514EC6">
        <w:rPr>
          <w:rFonts w:ascii="Arial" w:hAnsi="Arial" w:cs="Arial"/>
          <w:color w:val="000000"/>
          <w:lang w:val="ru-RU"/>
        </w:rPr>
        <w:t> при недопущении роста регистрации преступлений, отмечается снижение количества раскрытых преступлений с 4 до 2</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w:t>
      </w:r>
      <w:r w:rsidRPr="00514EC6">
        <w:rPr>
          <w:rFonts w:ascii="Arial" w:hAnsi="Arial" w:cs="Arial"/>
          <w:b/>
          <w:bCs/>
          <w:color w:val="000000"/>
          <w:lang w:val="ru-RU"/>
        </w:rPr>
        <w:t>грабежи:</w:t>
      </w:r>
      <w:r w:rsidRPr="00514EC6">
        <w:rPr>
          <w:rFonts w:ascii="Arial" w:hAnsi="Arial" w:cs="Arial"/>
          <w:color w:val="000000"/>
          <w:lang w:val="ru-RU"/>
        </w:rPr>
        <w:t> рост регистрации с 42 до 49 преступлений, снижение направленных в суд с 16 до 14 уголовных дел</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Наряду с изложенными выше негативными моментами, с положительной стороны необходимо отметить результаты работы отделения дознания, которое по нагрузочным показателям занимает одно из ведущих мест в рамках Главного Управления по Городу.</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b/>
          <w:bCs/>
          <w:color w:val="000000"/>
          <w:lang w:val="ru-RU"/>
        </w:rPr>
        <w:t> В заключение выступления остановлюсь на задачах, стоящих перед нами в 2016 году.</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Учитывая, что качество управленческого процесса является основой достижения положительных результатов в оперативно-служебной деятельности, защите прав и свобод граждан, руководителям служб Отдела поставлена задача уделять этому направлению первостепенное значение, в частности принять меры к ужесточению контроля за исполнительской и учетно-регистрационной дисциплиной.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На основе отмеченных выше статистических показателей работы подразделений уголовного розыска, участковых уполномоченных полиции, патрульно-постовой службы, в ходе проведенного итогового совещания в Отделе, руководителям отмеченных подразделений поставлены конкретные задачи, а именно:</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организовать работу наружных служб и оперсостава по выявлению, раскрытию и документированию имущественных преступлений и преступлений двойной превенции, преступлений совершаемых в общественных местах. Особое внимание обратить на раскрытие краж из квартир граждан, краж автотранспорта, грабежей и разбойных нападений;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в целях предупреждения и своевременного пресечения преступлений обеспечить проведение агентурной работы на должном уровне, обеспечить качественное взаимодействие сотрудников уголовного розыска с процессуальными службами в целях обеспечения раскрытия неочевидных преступлений тяжких и особотяжких составов;</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обеспечить эффективную работу патрульных нарядов и дополнительных сил выделяемых согласно Плана комплексного использования сил и средств, по пресечению и раскрытию преступлений в общественных местах и на улицах «по горячим следам». Организовать работу участковых уполномоченных полиции по выявлению и раскрытию превентивных составов преступлений;</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 в целях недопущения роста приостановления уголовных дел, максимально организовать работу по полному и объективному проведению доследственных проверок по таким составам преступлений, как кражи, грабежи и разбойные нападения.</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Доклад окончен.</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Спасибо за внимание.</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 </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Начальник Отдела МВД России</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по Нижегородскому району г. Москвы</w:t>
      </w:r>
    </w:p>
    <w:p w:rsidR="00514EC6" w:rsidRPr="00514EC6" w:rsidRDefault="00514EC6" w:rsidP="00514EC6">
      <w:pPr>
        <w:shd w:val="clear" w:color="auto" w:fill="FFFFFF"/>
        <w:spacing w:before="150" w:after="150" w:line="408" w:lineRule="atLeast"/>
        <w:rPr>
          <w:rFonts w:ascii="Arial" w:hAnsi="Arial" w:cs="Arial"/>
          <w:color w:val="000000"/>
          <w:lang w:val="ru-RU"/>
        </w:rPr>
      </w:pPr>
      <w:r w:rsidRPr="00514EC6">
        <w:rPr>
          <w:rFonts w:ascii="Arial" w:hAnsi="Arial" w:cs="Arial"/>
          <w:color w:val="000000"/>
          <w:lang w:val="ru-RU"/>
        </w:rPr>
        <w:t>подполковник полиции                                                                В.В. Дьяконов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71E12"/>
    <w:multiLevelType w:val="multilevel"/>
    <w:tmpl w:val="7CC8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B3EFD"/>
    <w:multiLevelType w:val="multilevel"/>
    <w:tmpl w:val="68B4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C6"/>
    <w:rsid w:val="00514EC6"/>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514EC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4EC6"/>
    <w:rPr>
      <w:rFonts w:ascii="Times" w:hAnsi="Times"/>
      <w:b/>
      <w:bCs/>
      <w:kern w:val="36"/>
      <w:sz w:val="48"/>
      <w:szCs w:val="48"/>
    </w:rPr>
  </w:style>
  <w:style w:type="paragraph" w:styleId="a3">
    <w:name w:val="Normal (Web)"/>
    <w:basedOn w:val="a"/>
    <w:uiPriority w:val="99"/>
    <w:semiHidden/>
    <w:unhideWhenUsed/>
    <w:rsid w:val="00514EC6"/>
    <w:pPr>
      <w:spacing w:before="100" w:beforeAutospacing="1" w:after="100" w:afterAutospacing="1"/>
    </w:pPr>
    <w:rPr>
      <w:rFonts w:ascii="Times" w:hAnsi="Times" w:cs="Times New Roman"/>
      <w:sz w:val="20"/>
      <w:szCs w:val="20"/>
      <w:lang w:val="ru-RU"/>
    </w:rPr>
  </w:style>
  <w:style w:type="paragraph" w:customStyle="1" w:styleId="fr1">
    <w:name w:val="fr1"/>
    <w:basedOn w:val="a"/>
    <w:rsid w:val="00514EC6"/>
    <w:pPr>
      <w:spacing w:before="100" w:beforeAutospacing="1" w:after="100" w:afterAutospacing="1"/>
    </w:pPr>
    <w:rPr>
      <w:rFonts w:ascii="Times" w:hAnsi="Times"/>
      <w:sz w:val="20"/>
      <w:szCs w:val="20"/>
      <w:lang w:val="ru-RU"/>
    </w:rPr>
  </w:style>
  <w:style w:type="character" w:styleId="a4">
    <w:name w:val="Strong"/>
    <w:basedOn w:val="a0"/>
    <w:uiPriority w:val="22"/>
    <w:qFormat/>
    <w:rsid w:val="00514EC6"/>
    <w:rPr>
      <w:b/>
      <w:bCs/>
    </w:rPr>
  </w:style>
  <w:style w:type="paragraph" w:customStyle="1" w:styleId="a5">
    <w:name w:val="a"/>
    <w:basedOn w:val="a"/>
    <w:rsid w:val="00514EC6"/>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514EC6"/>
  </w:style>
  <w:style w:type="character" w:styleId="a6">
    <w:name w:val="Emphasis"/>
    <w:basedOn w:val="a0"/>
    <w:uiPriority w:val="20"/>
    <w:qFormat/>
    <w:rsid w:val="00514EC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514EC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4EC6"/>
    <w:rPr>
      <w:rFonts w:ascii="Times" w:hAnsi="Times"/>
      <w:b/>
      <w:bCs/>
      <w:kern w:val="36"/>
      <w:sz w:val="48"/>
      <w:szCs w:val="48"/>
    </w:rPr>
  </w:style>
  <w:style w:type="paragraph" w:styleId="a3">
    <w:name w:val="Normal (Web)"/>
    <w:basedOn w:val="a"/>
    <w:uiPriority w:val="99"/>
    <w:semiHidden/>
    <w:unhideWhenUsed/>
    <w:rsid w:val="00514EC6"/>
    <w:pPr>
      <w:spacing w:before="100" w:beforeAutospacing="1" w:after="100" w:afterAutospacing="1"/>
    </w:pPr>
    <w:rPr>
      <w:rFonts w:ascii="Times" w:hAnsi="Times" w:cs="Times New Roman"/>
      <w:sz w:val="20"/>
      <w:szCs w:val="20"/>
      <w:lang w:val="ru-RU"/>
    </w:rPr>
  </w:style>
  <w:style w:type="paragraph" w:customStyle="1" w:styleId="fr1">
    <w:name w:val="fr1"/>
    <w:basedOn w:val="a"/>
    <w:rsid w:val="00514EC6"/>
    <w:pPr>
      <w:spacing w:before="100" w:beforeAutospacing="1" w:after="100" w:afterAutospacing="1"/>
    </w:pPr>
    <w:rPr>
      <w:rFonts w:ascii="Times" w:hAnsi="Times"/>
      <w:sz w:val="20"/>
      <w:szCs w:val="20"/>
      <w:lang w:val="ru-RU"/>
    </w:rPr>
  </w:style>
  <w:style w:type="character" w:styleId="a4">
    <w:name w:val="Strong"/>
    <w:basedOn w:val="a0"/>
    <w:uiPriority w:val="22"/>
    <w:qFormat/>
    <w:rsid w:val="00514EC6"/>
    <w:rPr>
      <w:b/>
      <w:bCs/>
    </w:rPr>
  </w:style>
  <w:style w:type="paragraph" w:customStyle="1" w:styleId="a5">
    <w:name w:val="a"/>
    <w:basedOn w:val="a"/>
    <w:rsid w:val="00514EC6"/>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514EC6"/>
  </w:style>
  <w:style w:type="character" w:styleId="a6">
    <w:name w:val="Emphasis"/>
    <w:basedOn w:val="a0"/>
    <w:uiPriority w:val="20"/>
    <w:qFormat/>
    <w:rsid w:val="00514E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656822">
      <w:bodyDiv w:val="1"/>
      <w:marLeft w:val="0"/>
      <w:marRight w:val="0"/>
      <w:marTop w:val="0"/>
      <w:marBottom w:val="0"/>
      <w:divBdr>
        <w:top w:val="none" w:sz="0" w:space="0" w:color="auto"/>
        <w:left w:val="none" w:sz="0" w:space="0" w:color="auto"/>
        <w:bottom w:val="none" w:sz="0" w:space="0" w:color="auto"/>
        <w:right w:val="none" w:sz="0" w:space="0" w:color="auto"/>
      </w:divBdr>
      <w:divsChild>
        <w:div w:id="1294024646">
          <w:marLeft w:val="0"/>
          <w:marRight w:val="0"/>
          <w:marTop w:val="0"/>
          <w:marBottom w:val="0"/>
          <w:divBdr>
            <w:top w:val="none" w:sz="0" w:space="0" w:color="auto"/>
            <w:left w:val="none" w:sz="0" w:space="0" w:color="auto"/>
            <w:bottom w:val="none" w:sz="0" w:space="0" w:color="auto"/>
            <w:right w:val="none" w:sz="0" w:space="0" w:color="auto"/>
          </w:divBdr>
          <w:divsChild>
            <w:div w:id="1680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2251</Words>
  <Characters>12837</Characters>
  <Application>Microsoft Macintosh Word</Application>
  <DocSecurity>0</DocSecurity>
  <Lines>106</Lines>
  <Paragraphs>30</Paragraphs>
  <ScaleCrop>false</ScaleCrop>
  <Company/>
  <LinksUpToDate>false</LinksUpToDate>
  <CharactersWithSpaces>15058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2016-07-15T09:25:00Z</dcterms:created>
  <dcterms:modified xsi:type="dcterms:W3CDTF">2016-07-15T09:25:00Z</dcterms:modified>
</cp:coreProperties>
</file>