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НАЧАЛЬНИКА ОМВД РОССИИ ПО РАЙОНУ ПЕЧАТНИКИ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787F8C" w:rsidRDefault="00787F8C" w:rsidP="00787F8C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noProof/>
          <w:color w:val="19396C"/>
          <w:lang w:val="en-US"/>
        </w:rPr>
        <w:drawing>
          <wp:inline distT="0" distB="0" distL="0" distR="0">
            <wp:extent cx="1409700" cy="1016000"/>
            <wp:effectExtent l="0" t="0" r="12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ind w:firstLine="9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 xml:space="preserve">За 12 месяцев 2012 года отделом МВД России по району Печатники г. Москвы рассмотрено </w:t>
      </w: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 xml:space="preserve">17541 </w:t>
      </w:r>
      <w:r>
        <w:rPr>
          <w:rFonts w:ascii="Arial" w:hAnsi="Arial" w:cs="Arial"/>
          <w:color w:val="19396C"/>
          <w:sz w:val="38"/>
          <w:szCs w:val="38"/>
          <w:lang w:val="en-US"/>
        </w:rPr>
        <w:t xml:space="preserve">зарегистрированных заявлений, сообщений и иной информации о происшествиях, что на </w:t>
      </w: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1319</w:t>
      </w:r>
      <w:r>
        <w:rPr>
          <w:rFonts w:ascii="Arial" w:hAnsi="Arial" w:cs="Arial"/>
          <w:b/>
          <w:bCs/>
          <w:color w:val="F65100"/>
          <w:sz w:val="38"/>
          <w:szCs w:val="38"/>
          <w:lang w:val="en-US"/>
        </w:rPr>
        <w:t xml:space="preserve"> </w:t>
      </w:r>
      <w:r>
        <w:rPr>
          <w:rFonts w:ascii="Arial" w:hAnsi="Arial" w:cs="Arial"/>
          <w:color w:val="19396C"/>
          <w:sz w:val="38"/>
          <w:szCs w:val="38"/>
          <w:lang w:val="en-US"/>
        </w:rPr>
        <w:t>меньше, чем за аналогичный период 2011 года (</w:t>
      </w: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18860</w:t>
      </w:r>
      <w:r>
        <w:rPr>
          <w:rFonts w:ascii="Arial" w:hAnsi="Arial" w:cs="Arial"/>
          <w:color w:val="19396C"/>
          <w:sz w:val="38"/>
          <w:szCs w:val="38"/>
          <w:lang w:val="en-US"/>
        </w:rPr>
        <w:t>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 xml:space="preserve">         За указанный период на территории района зарегистрировано </w:t>
      </w: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 xml:space="preserve">1242 </w:t>
      </w:r>
      <w:r>
        <w:rPr>
          <w:rFonts w:ascii="Arial" w:hAnsi="Arial" w:cs="Arial"/>
          <w:color w:val="19396C"/>
          <w:sz w:val="38"/>
          <w:szCs w:val="38"/>
          <w:lang w:val="en-US"/>
        </w:rPr>
        <w:t xml:space="preserve">преступлений, что на </w:t>
      </w: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58</w:t>
      </w:r>
      <w:r>
        <w:rPr>
          <w:rFonts w:ascii="Arial" w:hAnsi="Arial" w:cs="Arial"/>
          <w:color w:val="19396C"/>
          <w:sz w:val="38"/>
          <w:szCs w:val="38"/>
          <w:lang w:val="en-US"/>
        </w:rPr>
        <w:t xml:space="preserve"> преступление больше (+4,9%), чем за тот же период 2011 года (АППГ - 1184). В суд направлено </w:t>
      </w: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303</w:t>
      </w:r>
      <w:r>
        <w:rPr>
          <w:rFonts w:ascii="Arial" w:hAnsi="Arial" w:cs="Arial"/>
          <w:color w:val="19396C"/>
          <w:sz w:val="38"/>
          <w:szCs w:val="38"/>
          <w:lang w:val="en-US"/>
        </w:rPr>
        <w:t xml:space="preserve"> уголовных дел, что на </w:t>
      </w: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23</w:t>
      </w:r>
      <w:r>
        <w:rPr>
          <w:rFonts w:ascii="Arial" w:hAnsi="Arial" w:cs="Arial"/>
          <w:color w:val="19396C"/>
          <w:sz w:val="38"/>
          <w:szCs w:val="38"/>
          <w:lang w:val="en-US"/>
        </w:rPr>
        <w:t xml:space="preserve"> больше аналогичного периода прошлого года (АППГ-280).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 xml:space="preserve">Тяжких преступлений зарегистрировано 352 (ААПГ-298) или (+18,1) в суд направлено 91 уголовное дело, в 2011 году было направлено 65 дел </w:t>
      </w:r>
      <w:r>
        <w:rPr>
          <w:rFonts w:ascii="Arial" w:hAnsi="Arial" w:cs="Arial"/>
          <w:color w:val="19396C"/>
          <w:sz w:val="38"/>
          <w:szCs w:val="38"/>
          <w:lang w:val="en-US"/>
        </w:rPr>
        <w:lastRenderedPageBreak/>
        <w:t>(+40,0%), приостановлено 247-245 (+0,8%).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 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Особо тяжких преступлений зарегистрировано 25 преступления, в 2011 году –29 (или -13,8), в суд направлено 11 уголовных дела, в 2011 году – 11 (или 0,0%).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По линии ОУР (следствие обязательно) зарегистрировано 832 преступления, за аналогичный период 2011 года –750, т.е. на 82 преступлений больше (+10,9%), направлено в суд 174 уголовных дела, за аналогичный период 2011 года - 127, т.е. на 47 уголовных дела больше (или +37,0%), приостановлено 679-607 (+11,9%).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По линии ООП (следствие необязательно) зарегистрировано 410 преступления, за аналогичный период 2011 года – 434, т.е. на 24 преступлений меньше (-5,5%), направлено в суд 129 уголовных дел, за аналогичный период 2011 года - 155, т.е. на 26 уголовных дел меньше (-16,8), приостановлено 278-306 (-9,2%).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В отчетном периоде отдел внутренних дел сумел добиться определенных позитивных результатов по отдельным направлениям в оперативно-служебной деятельности. В 5 раз снизилось количество убийств, с 6 преступлений с 2011 году до 1 преступления в 2012 году (или -83,3%).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На 15,8% с 19 преступлений в 2011году до 16 преступлений в 2012 году отмечается снижение числа умышленного причинение тяжкого вреда здоровью. На 34,8% по сравнению с 2011 годом отмечается снижение краж из квартир, так за истекший период 2012 года было зарегистрировано 45 преступлений против 69 преступлений в 2011 году.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На 33,3% снизилось количество хулиганств, с 6 преступлений в 2011 году до 4 преступлений в 2012 году. На 21,1% снизилось количество преступлений связанных с наркотиками, с 38 преступления в 2011 году до 30 – в 2012 году.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В то же время, несмотря на наличие позитивных изменений, криминальная обстановка в районе остается напряженной.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Так, количество краж на территории района возросло на 10,4% , с 632 преступлений в 2011 году до 698 преступлений в 2012 году.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Краж транспортных средств возросло на 44,0%, или на 22 преступления (72-50).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i/>
          <w:iCs/>
          <w:color w:val="19396C"/>
          <w:sz w:val="38"/>
          <w:szCs w:val="38"/>
          <w:lang w:val="en-US"/>
        </w:rPr>
        <w:t>В предстоящем периоде будут приниматься меры по устранению причин, связанных с низкой результативности работы личного состава по раскрытию данного вида преступлений. Активизируем работу личного состава по установлению доверительных отношений с гражданами, в том числе оперативное прикрытие объектов по парковке, хранению и реализации транспортных средств.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По-прежнему, остро стоит проблема профилактики разбоев и грабежей: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Количество грабежей возросло на 24,1%, или на 21 преступление (108-87).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На 23,8% с 21 преступления в 2011 году до 26 преступлений в 2012 году возросло количество разбойных нападений.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i/>
          <w:iCs/>
          <w:color w:val="19396C"/>
          <w:sz w:val="38"/>
          <w:szCs w:val="38"/>
          <w:lang w:val="en-US"/>
        </w:rPr>
        <w:t>С целью профилактики данного вида преступлений необходимо активизировать работу по отработке жилого сектора с целью профилактики и раскрытия данных видов преступлений. Сотрудникам, задействованным в обеспечении общественного порядка основные усилия направить на недопущения совершения преступлений совершенных на улицах и в общественных местах.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Число нераскрытых преступлений, уголовные дела по которым приостановлены по п.п. 1-3 ч. 1 ст. 208 УПК РФ по итогам 12-ми месяцев 2012 года составило 957 уголовных дел, это больше аналогичного показателя прошлого года на 44 дела (АППГ-913).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В отчетном периоде т.г. мы не эффективно сработали по раскрытию краж 2012 год- 99 (АППГ-109) или (-9,2%), разбойных нападений 2012 год – 4 (АППГ-8 или -50,0 %), хулиганств 2012 год – 1 (АППГ-2) или (-50,0%), преступлений, связанных с наркотиками 2012 год - 7 (АППГ-20) или (-65,0).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В абсолютных цифрах отделом внутренних дел раскрыто из числа направленных в суд 204 преступления, в 2011 году - 236 (-32). По нагрузке на каждого сотрудника ОМВД занимает 8 место среди подразделений УВД по ЮВАО ГУ МВД России по г. Москве.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При подведении итогов работы ОМВД России по району Печатники г. Москвы за 2012 год следует детально разобрать работу всех служб отдела.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По состоянию на текущий период в службе ОУР по штату 11 сотрудников некомплект 1 сотрудник.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- службой ОУР раскрыто 117 преступлений против 116 (10,64%)- 2 место;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По состоянию на текущий период в службе УУП по штату 18 сотрудников, некомплект 1 сотрудник.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- службой ОУУП раскрыто 52 преступление против 84 (-32) – 13 место;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По состоянию на текущий период в ППСП по штату 51 сотрудник, некомплект 7 сотрудников</w:t>
      </w:r>
      <w:r>
        <w:rPr>
          <w:rFonts w:ascii="Arial" w:hAnsi="Arial" w:cs="Arial"/>
          <w:color w:val="19396C"/>
          <w:sz w:val="38"/>
          <w:szCs w:val="38"/>
          <w:lang w:val="en-US"/>
        </w:rPr>
        <w:t>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- ОР ППСП раскрыто 28 преступлений против 8 (+20) – 10 место;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По итогам 12 месяцев отделением дознания окончено 80 уголовных дел и 25 эпизодов (АППГ-102 дел и 23 эпизода), что на 22 уголовных дела меньше и на 2 эпизода больше. В срок свыше УПК окончено 24 уголовных дела (АППГ-20).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 xml:space="preserve">            </w:t>
      </w: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По итогам 12 месяцев следственным отделением окончено 76 уголовных дел (АППГ-77), что на 1 уголовное дело меньше. В срок свыше УПК окончено 32 уголовных дела.</w:t>
      </w:r>
    </w:p>
    <w:p w:rsidR="00787F8C" w:rsidRDefault="00787F8C" w:rsidP="00787F8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9396C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19396C"/>
          <w:sz w:val="38"/>
          <w:szCs w:val="38"/>
          <w:lang w:val="en-US"/>
        </w:rPr>
        <w:t>        Работа с кадрами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F40000"/>
          <w:lang w:val="en-US"/>
        </w:rPr>
        <w:t xml:space="preserve">            </w:t>
      </w:r>
      <w:r>
        <w:rPr>
          <w:rFonts w:ascii="Arial" w:hAnsi="Arial" w:cs="Arial"/>
          <w:color w:val="19396C"/>
          <w:sz w:val="38"/>
          <w:szCs w:val="38"/>
          <w:lang w:val="en-US"/>
        </w:rPr>
        <w:t>Общая численность штата ОВД – 149 человек, по списку 136 человек, некомплект 13 единиц- офицерского состава-5, рядового состава-8.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         За истекший период, уволено по собственному желанию 8 сотрудников, откомандировано 15, уволенных по отрицательным мотивам - нет. 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         За истекший период полностью был укомплектован начальствующий состав.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42"/>
          <w:szCs w:val="42"/>
          <w:lang w:val="en-US"/>
        </w:rPr>
        <w:t>Основными задачами ОМВД на 2013 год является: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 xml:space="preserve">- </w:t>
      </w:r>
      <w:r>
        <w:rPr>
          <w:rFonts w:ascii="Arial" w:hAnsi="Arial" w:cs="Arial"/>
          <w:sz w:val="38"/>
          <w:szCs w:val="38"/>
          <w:lang w:val="en-US"/>
        </w:rPr>
        <w:t>активизация работы по раскрытию преступлений «по горячим следам», тяжким и особо тяжким преступлениям, преступлениям прошлых лет;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8"/>
          <w:szCs w:val="38"/>
          <w:lang w:val="en-US"/>
        </w:rPr>
        <w:t>- повышение уровня взаимодействия с органами предварительного расследования;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- продолжение работы по профилактике и предупреждению совершения террористических актов на территории района, прежде всего в местах с массовым пребыванием граждан и жилом секторе;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-</w:t>
      </w:r>
      <w:r>
        <w:rPr>
          <w:rFonts w:ascii="Times New Roman" w:hAnsi="Times New Roman" w:cs="Times New Roman"/>
          <w:color w:val="19396C"/>
          <w:sz w:val="18"/>
          <w:szCs w:val="18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38"/>
          <w:szCs w:val="38"/>
          <w:lang w:val="en-US"/>
        </w:rPr>
        <w:t>изъятие из незаконного оборота оружия и наркотических средств;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ind w:left="1440" w:hanging="4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8"/>
          <w:szCs w:val="38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 </w:t>
      </w:r>
      <w:r>
        <w:rPr>
          <w:rFonts w:ascii="Arial" w:hAnsi="Arial" w:cs="Arial"/>
          <w:sz w:val="38"/>
          <w:szCs w:val="38"/>
          <w:lang w:val="en-US"/>
        </w:rPr>
        <w:t>выявление и пресечение преступлений двойной превенции;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- повышение качества профилактики и раскрытия преступлений, совершенных на улице и общественных местах, принятие мер по повышению эффективности работы по раскрытию и расследованию тяжких и особо тяжких преступлений, в том числе совершаемых на бытовой почве, наиболее распространенные имущественные преступления (квартирные кражи, грабежи и разбои, кражи и угоны транспортных средств);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8"/>
          <w:szCs w:val="38"/>
          <w:lang w:val="en-US"/>
        </w:rPr>
        <w:t>-</w:t>
      </w:r>
      <w:r>
        <w:rPr>
          <w:rFonts w:ascii="Times New Roman" w:hAnsi="Times New Roman" w:cs="Times New Roman"/>
          <w:color w:val="19396C"/>
          <w:sz w:val="18"/>
          <w:szCs w:val="18"/>
          <w:lang w:val="en-US"/>
        </w:rPr>
        <w:t xml:space="preserve">          </w:t>
      </w:r>
      <w:r>
        <w:rPr>
          <w:rFonts w:ascii="Arial" w:hAnsi="Arial" w:cs="Arial"/>
          <w:color w:val="19396C"/>
          <w:sz w:val="38"/>
          <w:szCs w:val="38"/>
          <w:lang w:val="en-US"/>
        </w:rPr>
        <w:t>повышение спроса со стороны руководителей за надлежащим исполнением подчиненными своих служебных обязанностей;</w:t>
      </w:r>
    </w:p>
    <w:p w:rsidR="00787F8C" w:rsidRDefault="00787F8C" w:rsidP="00787F8C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8"/>
          <w:szCs w:val="38"/>
          <w:lang w:val="en-US"/>
        </w:rPr>
        <w:t>- повышение эффективности по раскрытию уличных преступлений, осуществление рациональной расстановки и усиление контроля за нарядами, задействованными в системе единой дислокации.</w:t>
      </w:r>
    </w:p>
    <w:p w:rsidR="009C473A" w:rsidRDefault="00787F8C" w:rsidP="00787F8C">
      <w:r>
        <w:rPr>
          <w:rFonts w:ascii="Arial" w:hAnsi="Arial" w:cs="Arial"/>
          <w:color w:val="19396C"/>
          <w:lang w:val="en-US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8C"/>
    <w:rsid w:val="00787F8C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F8C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7F8C"/>
    <w:rPr>
      <w:rFonts w:ascii="Lucida Grande CY" w:hAnsi="Lucida Grande CY" w:cs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F8C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7F8C"/>
    <w:rPr>
      <w:rFonts w:ascii="Lucida Grande CY" w:hAnsi="Lucida Grande CY" w:cs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1068</Words>
  <Characters>6089</Characters>
  <Application>Microsoft Macintosh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2013-03-18T09:43:00Z</dcterms:created>
  <dcterms:modified xsi:type="dcterms:W3CDTF">2013-03-18T09:43:00Z</dcterms:modified>
</cp:coreProperties>
</file>