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2F7" w:rsidRPr="001452F7" w:rsidRDefault="001452F7" w:rsidP="001452F7">
      <w:pPr>
        <w:shd w:val="clear" w:color="auto" w:fill="FFFFFF"/>
        <w:outlineLvl w:val="0"/>
        <w:rPr>
          <w:rFonts w:ascii="Arial" w:eastAsia="Times New Roman" w:hAnsi="Arial" w:cs="Arial"/>
          <w:color w:val="000000"/>
          <w:kern w:val="36"/>
          <w:sz w:val="30"/>
          <w:szCs w:val="30"/>
          <w:lang w:val="ru-RU"/>
        </w:rPr>
      </w:pPr>
      <w:r w:rsidRPr="001452F7">
        <w:rPr>
          <w:rFonts w:ascii="Arial" w:eastAsia="Times New Roman" w:hAnsi="Arial" w:cs="Arial"/>
          <w:color w:val="000000"/>
          <w:kern w:val="36"/>
          <w:sz w:val="30"/>
          <w:szCs w:val="30"/>
          <w:lang w:val="ru-RU"/>
        </w:rPr>
        <w:t>Информационно-аналитическая записка начальника ОМВД России по Рязанскому району</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b/>
          <w:bCs/>
          <w:color w:val="000000"/>
          <w:u w:val="single"/>
          <w:lang w:val="ru-RU"/>
        </w:rPr>
        <w:t>Отчет</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Начальника Отдела МВД России по Рязанскому району г. Москвы, о деятельности подчинённого органа внутренних дел, перед представительными органами муниципальных образований Рязанского района  г. Москвы «О состоянии правопорядка на территории Рязанского  района г. Москвы и итогах оперативно-служебной деятельности Отдела МВД России по Рязанскому  району  г. Москвы  за 2015 год.  </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Основное содержание оперативно-служебной деятельности Отдела МВД России по Рязанскому району г. Москвы в условиях совершенствования её организационно-правовых основ, за 2015 год составляла концентрация усилий на повышение эффективности противодействию правонарушениям и преступлениям, а так же принятия комплексных мер в обновлении подходов по тесному взаимодействию общества с органами внутренних дел.  </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Наряду с повседневной работой по выявлению и раскрытию преступлений личный состав активно задействовался в обеспечении охраны общественного порядка при проведении различных мероприятий. Прежде всего, это обеспечение охраны общественного порядка при подготовке и празднования 70-летия Победы в Великой отечественной войне, религиозных праздников (рождество Христово, Крещения, Пасха, Вербное воскресение, Красная горка, Троица) и других мероприятий проводимых на территории района. </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Всего сотрудники Отдела обеспечивали охрану общественного порядка при проведении 58 мероприятий. По результатам, которых нарушений общественного порядка и безопасности граждан допущено не было.</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 Отделе значится по штату 151 сотрудников, по списку -140, некомплект аттестованных сотрудников составляет 10 единиц, из них  офицерский состав – 6 (2- руководящие должности).</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xml:space="preserve"> За отчётный период вновь принято на службу 11 сотрудников, из них переводом из других подразделений 14 сотрудников. Уволено из органов внутренних дел 10 (из них 4 по инициативе сотрудника, 5 сотрудников по выслуге лет дающей право на получение пенсии, 1 в связи с совершением проступка, порочащего честь </w:t>
      </w:r>
      <w:r w:rsidRPr="001452F7">
        <w:rPr>
          <w:rFonts w:ascii="Arial" w:hAnsi="Arial" w:cs="Arial"/>
          <w:color w:val="000000"/>
          <w:lang w:val="ru-RU"/>
        </w:rPr>
        <w:lastRenderedPageBreak/>
        <w:t>сотрудника органов внутренних дел), переведено в другие подразделения 13 сотрудников.</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За 2015 год Отделом рассмотрено 28764 зарегистрированных заявлений, сообщений и иной информации о происшествиях, рост регистрации увеличился на 20,6 %,  что на 4910 сообщений больше, чем за аналогичный период 2014 года: 23854.</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За отчетный период на обслуживаемой территории, увеличилось количество зарегистрированных преступлений на 118 случаев и составило 1942 преступления, или 6,5%, на 3,6% увеличилось число уголовных дел направленных в суд и составило 427 уголовных дела, 96 из которых относятся к категории тяжких и 23 к категории  особо тяжких.</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 отчетном периоде службы и подразделения отдела внутренних дел сумели добиться определенных положительных результатов по отдельным направлениям  оперативно-служебной деятельности.</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Отмечается снижение числа преступлений, связанных с умышленным причинением тяжкого вреда здоровью на 8,3% (11/12), кражами из квартир  на 32,1%(36/53), кражами транспортных средств на 26,5% (79/107), из них краж автомобилей на 20,9% (72/91), НОН 34% (126/91), связанных со сбытом 29,1%(90/127), мошенничеств на 12,5% (237/271).</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 тоже время несмотря на наличие положительных изменений криминогенная обстановка в районе остается напряженной, имеющийся потенциал службами и подразделениями в полной мере не использован.</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Вследствие чего отмечается рост числа преступлений, связанных с:</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-грабежами на 14,5%(142/124);</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-разбоями на 60% (24/15)</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-неправомерным завладением АМТ (угон) на 44,4% (13/9);</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умышленным причинением средней тяжести вреда здоровью(112ст.) на 25% (15/12);</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-умышленным причинением легкого вреда здоровью(115ст.) – на 550% (13/2);</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побоями (ст.116) на 76,5% (30/17).</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Всего по тяжким и особо тяжким преступлениям произошло  снижение регистрации на 8,1% (434/472).</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Всего за двенадцать месяцев 2015 года на 3,6% увеличилось общее количество уголовных дел, направленных в суд(427/412), при этом произошло снижение направления дел по таким составам как:</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тяжкие  и особо тяжкие на -9,2 % (119/131);</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причинение тяжкого вреда здоровью -60% (4/10);</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краж с проникновением -21,4%(11/14);</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краж из квартир -50%(6/12);</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преступлений, связанных с НОН и СДВ -36%(55/80);</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-преступлений экономической направленности -25% (15/20);</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-кражам транспорта -33,3% (4/6).</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Стоит отметить, что в 2015 году произошло снижение регистрации по кражам транспорта  на 28 случаев и составило 79/107 преступлений, и квартирных краж на 6 случаев, и составило 6/12 преступлений.</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Анализ показывает, что преступления связанные с угоном, либо хищением автотранспорта являются квалифицированными, зачастую хорошо организованными и подготовленными. Для раскрытия данных видов преступлений требуется проведение оперативно-технических мероприятий, которые проводятся в течение длительного периода времени. Постоянно увеличивающееся количество автотранспорта в г. Москве, отсутствие на территории района необходимого количества доступных охраняемых автостоянок и паркингов, отсутствие в жилом секторе качественных камер видеонаблюдения не позволяет в полной мере повысить эффективность противодействия данным преступлениям и их раскрытию.</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Это же касается и совершаемых на территории района квартирных краж. Подавляющее большинство этих преступлений совершаются в дневное время, когда жильцы находятся на работе. Благодаря беспечности владельцев квартир, которые зачастую даже не закрывают двери своих квартир на все замки, оставляют открытыми окна, не пользуются установленными сигнализациями, преступники легко попадают в квартиры. Этому порой способствует и равнодушное отношение соседей по дому, которые стесняются позвонить в полицию и сообщить о подозрительных гражданах. Нашей совместной задачей профилактики этого вида преступлений является информирование населения о имеющейся проблеме, а также комплекс мер, направленных на постановку квартир под пультовую охранную сигнализацию вневедомственной охраны полиции.</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Одним из приоритетных направлений деятельности Отдела является работа службы участковых уполномоченных полиции. Эти сотрудники находятся на переднем крае борьбы с правонарушениями и преступлениями; на них легла огромная нагрузка по работе с населением. Основная масса поступающих заявлений и сообщений также ложится на отделение участковых уполномоченных полиции. В 2015 году ими рассмотрено 7380/6914, сообщений (отработано более 34383 квартиры). В ходе работы с населением проведены профилактические беседы по недопущению квартирных краж, отработаны лица, ранее судимые, посещены неблагополучные семьи, получено 30/44 заявления о постановке квартир на охрану.</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 2015 году за различные административные правонарушения Отделом оформлено 1750 нарушителя, что на 98 протоколов меньше, чем в 2014 году. За совершение мелкого хулиганства к административной ответственности привлечено 54/50 правонарушителя. За распитие алкогольной продукции и появлении в общественных местах в состоянии опьянения составлено на 154 материала больше и составило 1013/859 материалов. За нарушение паспортного и миграционного режима  составлено 229/270 материалов (минус 39).</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Важным направлением в работе по выявлению административных правонарушений является борьба с нарушениями в сфере торговли. За нарушение правил торговли по ст. 14.1,14.16 КоАП г. Москвы (торговля с рук в неустановленным местах) было задержано 284 правонарушителя. </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В текущем периоде основные усилия отделения по делам несовершеннолетних были направлены на усиление борьбы с безнадзорностью и беспризорностью несовершеннолетних, активизацию мер по профилактике правонарушений среди несовершеннолетних, дальнейшую отработку механизма противодействия преступным проявлениям с их стороны и вовлечения детей и подростков в криминальную деятельность.</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 целях профилактики правонарушений среди учащихся за 2015 год сотрудниками отделения по делам несовершеннолетних Отдела МВД по Рязанскому району проведено 128/126 лекций на правовые темы в школах и колледже района. Проводились инструктивные беседы с администрациями детских учреждений о повышении бдительности, незамедлительном информировании ОМВД при обнаружении неизвестных лиц и посторонних предметов на территории этих учреждений. Принято участие в 14 выступлениях на родительских собраниях, 14 советах профилактики.</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Также одним из важных направлений в работе отделения по делам несовершеннолетних является профилактическая работа по предупреждению групповой и повторной преступности среди несовершеннолетних.</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Анализ состояния преступности среди несовершеннолетних на  территории Рязанского района г. Москвы свидетельствует о том, что по итогам 12 месяцев 2015 года, общее количество преступлений совершенных подростками и при их участии (по оконченным уголовным делам и направленным в суд) снизилось. Вместе с тем хочу отметить, что снижение результатов по привлечению к уголовной ответственности несовершеннолетних связано с активной работой службы ОДН по профилактике совершения преступлений среди несовершеннолетних, в связи с проведением многочисленных рейдов в местах сосредоточения подростков.</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 заключение хочу поблагодарить присутствующих на совещании должностных лиц за активное содействие в работе Отдела в 2015 году и подчеркнуть, что работа полиции в современных условиях немыслима без тесного взаимодействия с населением, с органами  местного самоуправления, народной дружиной, общественными пунктами охраны порядка, старшими по подъездам и домам, с активом района. В целях стабилизации оперативной обстановки на территории Рязанского района города Москвы, в 2016 году нам необходимо принять ряд совместных мер, в первую очередь профилактических:</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Совместно с муниципальными органами самоуправления,  организовать  разъяснительную работу среди населения по профилактике краж из квартир, краж и угонов автотранспорта, путем организации встреч с населением, а также при выступлении участковых уполномоченных полиции перед населением с отчетом о проделанной работе. Разместить в доступных местах в учреждениях, общественных организациях, в домах и подъездах, в средствах массовой информации, информацию о совершаемых преступлениях и мерах по их профилактике.</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Подобную работу необходимо провести с целью профилактики мошеннических действий в отношении пенсионеров, особое внимание обратив освещению работы социальных и патронажных служб.</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По поступающей информации о незаконном обороте наркотических средств, в том числе так называемых «спайсов», о наличии наркопритонов, о лицах, ранее судимых сотрудникам полиции оперативно реагировать и направлять данную информацию в федеральную службу по контролю за оборотом наркотических средств</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Совместно с Управой района продолжить работу по выявлению и пресечению незаконной игорной деятельности, несанкционированной торговли, в том числе по пресечению реализации алкогольной и табачной продукции несовершеннолетним. С комиссией по делам несовершеннолетних выявлять «неблагополучные» семьи, беспризорных детей, активизировать меры по профилактике правонарушений среди несовершеннолетних.</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Основной задачей Отдела на предстоящий 2016 год является защита личности, общества и государства от преступных посягательств; предупреждение, пресечение и раскрытие преступлений и административных правонарушений; розыск лиц, уклоняющихся от суда, следствия и дознания; обеспечение  правопорядка в общественных местах.</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В целом, по моему мнению, коллектив Отдела является работоспособным и в состоянии  выполнять поставленные перед нам задачи.</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Доклад окончен!</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 </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Начальник Отдела МВД России</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по Рязанскому району г. Москвы</w:t>
      </w:r>
    </w:p>
    <w:p w:rsidR="001452F7" w:rsidRPr="001452F7" w:rsidRDefault="001452F7" w:rsidP="001452F7">
      <w:pPr>
        <w:shd w:val="clear" w:color="auto" w:fill="FFFFFF"/>
        <w:spacing w:before="150" w:after="150" w:line="408" w:lineRule="atLeast"/>
        <w:rPr>
          <w:rFonts w:ascii="Arial" w:hAnsi="Arial" w:cs="Arial"/>
          <w:color w:val="000000"/>
          <w:lang w:val="ru-RU"/>
        </w:rPr>
      </w:pPr>
      <w:r w:rsidRPr="001452F7">
        <w:rPr>
          <w:rFonts w:ascii="Arial" w:hAnsi="Arial" w:cs="Arial"/>
          <w:color w:val="000000"/>
          <w:lang w:val="ru-RU"/>
        </w:rPr>
        <w:t>подполковник полиции                                                                       А.В. Рыжков</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2F7"/>
    <w:rsid w:val="001452F7"/>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1452F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2F7"/>
    <w:rPr>
      <w:rFonts w:ascii="Times" w:hAnsi="Times"/>
      <w:b/>
      <w:bCs/>
      <w:kern w:val="36"/>
      <w:sz w:val="48"/>
      <w:szCs w:val="48"/>
    </w:rPr>
  </w:style>
  <w:style w:type="paragraph" w:styleId="a3">
    <w:name w:val="Normal (Web)"/>
    <w:basedOn w:val="a"/>
    <w:uiPriority w:val="99"/>
    <w:semiHidden/>
    <w:unhideWhenUsed/>
    <w:rsid w:val="001452F7"/>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452F7"/>
    <w:rPr>
      <w:b/>
      <w:bCs/>
    </w:rPr>
  </w:style>
  <w:style w:type="paragraph" w:customStyle="1" w:styleId="nospacing">
    <w:name w:val="nospacing"/>
    <w:basedOn w:val="a"/>
    <w:rsid w:val="001452F7"/>
    <w:pPr>
      <w:spacing w:before="100" w:beforeAutospacing="1" w:after="100" w:afterAutospacing="1"/>
    </w:pPr>
    <w:rPr>
      <w:rFonts w:ascii="Times" w:hAnsi="Times"/>
      <w:sz w:val="20"/>
      <w:szCs w:val="20"/>
      <w:lang w:val="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1452F7"/>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52F7"/>
    <w:rPr>
      <w:rFonts w:ascii="Times" w:hAnsi="Times"/>
      <w:b/>
      <w:bCs/>
      <w:kern w:val="36"/>
      <w:sz w:val="48"/>
      <w:szCs w:val="48"/>
    </w:rPr>
  </w:style>
  <w:style w:type="paragraph" w:styleId="a3">
    <w:name w:val="Normal (Web)"/>
    <w:basedOn w:val="a"/>
    <w:uiPriority w:val="99"/>
    <w:semiHidden/>
    <w:unhideWhenUsed/>
    <w:rsid w:val="001452F7"/>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1452F7"/>
    <w:rPr>
      <w:b/>
      <w:bCs/>
    </w:rPr>
  </w:style>
  <w:style w:type="paragraph" w:customStyle="1" w:styleId="nospacing">
    <w:name w:val="nospacing"/>
    <w:basedOn w:val="a"/>
    <w:rsid w:val="001452F7"/>
    <w:pPr>
      <w:spacing w:before="100" w:beforeAutospacing="1" w:after="100" w:afterAutospacing="1"/>
    </w:pPr>
    <w:rPr>
      <w:rFonts w:ascii="Times" w:hAnsi="Times"/>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029117">
      <w:bodyDiv w:val="1"/>
      <w:marLeft w:val="0"/>
      <w:marRight w:val="0"/>
      <w:marTop w:val="0"/>
      <w:marBottom w:val="0"/>
      <w:divBdr>
        <w:top w:val="none" w:sz="0" w:space="0" w:color="auto"/>
        <w:left w:val="none" w:sz="0" w:space="0" w:color="auto"/>
        <w:bottom w:val="none" w:sz="0" w:space="0" w:color="auto"/>
        <w:right w:val="none" w:sz="0" w:space="0" w:color="auto"/>
      </w:divBdr>
      <w:divsChild>
        <w:div w:id="1812095890">
          <w:marLeft w:val="0"/>
          <w:marRight w:val="0"/>
          <w:marTop w:val="0"/>
          <w:marBottom w:val="0"/>
          <w:divBdr>
            <w:top w:val="none" w:sz="0" w:space="0" w:color="auto"/>
            <w:left w:val="none" w:sz="0" w:space="0" w:color="auto"/>
            <w:bottom w:val="none" w:sz="0" w:space="0" w:color="auto"/>
            <w:right w:val="none" w:sz="0" w:space="0" w:color="auto"/>
          </w:divBdr>
          <w:divsChild>
            <w:div w:id="9234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1734</Words>
  <Characters>9890</Characters>
  <Application>Microsoft Macintosh Word</Application>
  <DocSecurity>0</DocSecurity>
  <Lines>82</Lines>
  <Paragraphs>23</Paragraphs>
  <ScaleCrop>false</ScaleCrop>
  <Company/>
  <LinksUpToDate>false</LinksUpToDate>
  <CharactersWithSpaces>11601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2016-07-15T09:25:00Z</dcterms:created>
  <dcterms:modified xsi:type="dcterms:W3CDTF">2016-07-15T09:25:00Z</dcterms:modified>
</cp:coreProperties>
</file>