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ED" w:rsidRPr="00BA33ED" w:rsidRDefault="00BA33ED" w:rsidP="00BA33ED">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BA33ED">
        <w:rPr>
          <w:rFonts w:ascii="Arial" w:eastAsia="Times New Roman" w:hAnsi="Arial" w:cs="Arial"/>
          <w:color w:val="000000"/>
          <w:spacing w:val="-15"/>
          <w:kern w:val="36"/>
          <w:sz w:val="30"/>
          <w:szCs w:val="30"/>
          <w:lang w:val="ru-RU"/>
        </w:rPr>
        <w:t>Информационно-аналитическая записка за 2014 год</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Район Бутырский находится  в восточной  части Северо – Восточного административного округа города Москвы. Граничит с районами Марфино с севера, с востока – к району Марфино и Останкинский, с запада – к району Тимирязевский и Савеловский, с юга – к району Марьина Роща.</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Основными автомобильными дорогами, проходящими по территории района являются: ул. Яблочкова, ул. Милашенкова, Огородный проезд. Между улицами Гончарова и Руставели расположился парк – филиал Лианозовского парка, где имеются различные детские аттракционы. На территории Бутырского района расположено  две железнодорожных платформы, 1 наземная монорельсовая дорога.</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Район образован с учетом исторических, географических, градостроительных особенностей, численности населения, социально-экономических характеристик, расположения транспортных коммуникаций, наличия инженерной инфраструктуры и других особенностей территории.</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Общественно-политических, религиозных и национальных формирований экстремистской направленности на территории района не зарегистрировано. Фактов проявления нарушений общественного порядка и  экстремизма на политической, религиозной и национальной почве на обслуживаемой территории допущено не было. Таким образом, общественно-политическая обстановка в районе характеризуется как стабильная.</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Промышленная зона на территории Бутырского района обширна. Она включает в себя: 24 общих объекта жизнеобеспечения района и города, а именно – эстакада по ул. Милашенкова; наземная монорельсовая дорога с 2-мя станциями, одна из которых конечная; здание ОВД; 4 вентиляционных киоска метрополитена; 3 выхода со станций метрополитена; 5 комбинатов – ОАО «Останкинский мясоперерабатывающий комбинат», Хладокомбинат №9 и ОАО «Останкинский молочный комбинат», комбинаты «ВторЦвет Мет» и «ВторЧерМет»; 4 завода–ЗАО «Знамя», ОАО «Останкинский пивоваренный завод», ОАО «Завод плавленых сыров «КАРАТ», Завод бараночных изделий; 1 подуличный пешеходный переход; 2 выхода с ж\д платформ; 1 выход с Савёловского вокзала; 2 энергоснабжающих объекта – ОАО «Октябрьские электросети» и Марфинский Электроузел на ул. Яблочкова.</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b/>
          <w:bCs/>
          <w:color w:val="000000"/>
          <w:u w:val="single"/>
          <w:lang w:val="ru-RU"/>
        </w:rPr>
        <w:t> </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 </w:t>
      </w:r>
    </w:p>
    <w:p w:rsidR="00BA33ED" w:rsidRPr="00BA33ED" w:rsidRDefault="00BA33ED" w:rsidP="00BA33ED">
      <w:pPr>
        <w:numPr>
          <w:ilvl w:val="0"/>
          <w:numId w:val="1"/>
        </w:numPr>
        <w:shd w:val="clear" w:color="auto" w:fill="FFFFFF"/>
        <w:spacing w:after="300" w:line="360" w:lineRule="atLeast"/>
        <w:ind w:left="0"/>
        <w:rPr>
          <w:rFonts w:ascii="Arial" w:eastAsia="Times New Roman" w:hAnsi="Arial" w:cs="Arial"/>
          <w:color w:val="000000"/>
          <w:lang w:val="ru-RU"/>
        </w:rPr>
      </w:pPr>
      <w:r w:rsidRPr="00BA33ED">
        <w:rPr>
          <w:rFonts w:ascii="Arial" w:eastAsia="Times New Roman" w:hAnsi="Arial" w:cs="Arial"/>
          <w:b/>
          <w:bCs/>
          <w:color w:val="000000"/>
          <w:lang w:val="ru-RU"/>
        </w:rPr>
        <w:t>1.     Характеристика криминогенной обстановки в районе.</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lastRenderedPageBreak/>
        <w:t> </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Подводя итоги работы за 12 месяцев 2014 года необходимо отметить, что работа личного состава Отдела была направлена на выполнение задач, поставленных перед органами внутренних дел в Директиве МВД России.</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Сначала хотелось бы остановиться на общих данных о состоянии криминогенной обстановки на территории района. За 12 месяцев 2014 года на территории района по сравнению с аналогичным периодом прошлого года отмечен рост количества зарегистрированных преступлений. Так, за 2014 год на территории района зарегистрировано 17906 сообщений, что на 4838 сообщений  больше, чем за 12 месяцев 2013 года (13068). Зарегистрировано  922 преступления (в 2013г.-874). Количество зарегистрированных преступлений возросло на 18%.</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Отмечено увеличение таких видов зарегистрированных преступлений как: преступления средней тяжести с 315 в 2013г. до 400 в 2014г., небольшой тяжести с 223 в 2013г. до 272 в 2014г.</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Уменьшилось количество: особо тяжких с 42 в 2013г. до 25 в 2014г., тяжких с 294 в 2013г. до 224 в 2014г.</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Если оценивать этот показатель по составам преступлений, то прежде всего, следует отметить уменьшение регистрации таких преступлений как:</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убийства в 2014г. не зарегистрировано, в 2013г. зарегистрировано 1 преступление; </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кражи транспортных средств на 27 с 75 в 2013г. до 48 в 2014г., лиц установлено 5  в аналогичном периоде  прошлого года 4, направленно в суд 6   в аналогичном периоде прошлого года 3;</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-квартирные кражи на 14 в 2013г 45, 2014г.-31, лиц установлено 0,  в 2013г. -6, направлено в суд 6,  в аналогичном периоде прошлого года 2;</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Разбойные нападения на 7 с 20 в 2013г. до 13 в 2014г, лиц установлено 4, в 2013г.- 8, направлено в суд 6, в 2013г. – 7;</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Причинение тяжкого вреда здоровью на 3 с 7 в 2013г. до 4 в 2014г., лиц установлено 3, в 2013г.г.-2, направлено в суд 4, в 2013г.-1.</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Также хочется отметить, что возросло количество уличных преступлений на  10 с 349 в 2013г., до 359 в 2014г., из них лица установлены 37, в аналогичном периоде прошлого года 57, количество преступлений совершенных в общественных местах увеличилось на 56 с 438 в 2013г. до 494 в 2014г., из них установлено  37 лиц, в 2013г. 57.</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В отчетном периоде отмечено снижение преступлений, совершенными не жителями г. Москвы с 78 до 56.</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Оценка деятельности территориального органа внутренних дел складывается из вневедомственной оценки деятельности, основанной на использовании социологической и иной информации, отражающей мнение населения о его деятельности, а также из ведомственной оценки, включающей в себя экспертную оценку по направлениям деятельности и оценку результатов деятельности по статистическим показателям </w:t>
      </w:r>
      <w:r w:rsidRPr="00BA33ED">
        <w:rPr>
          <w:rFonts w:ascii="Arial" w:hAnsi="Arial" w:cs="Arial"/>
          <w:i/>
          <w:iCs/>
          <w:color w:val="000000"/>
          <w:lang w:val="ru-RU"/>
        </w:rPr>
        <w:t>(приказ МВД России от 31.12.2013г. № 1040).</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Вначале остановимся на оценке результатов деятельности Отдела по статистическим показателям. Рассматривая организацию работу Отдела в отчетном периоде, хочется отметить, что результаты работы всех служб Отдела по раскрытию преступлений не в полной мере соответствуют предъявляемым требованиям.</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Не удалось коренным образом изменить результаты работы по направлению уголовных дел в суд. Процент раскрываемости по законченным уголовным делам составляет 22,26% - 14 место среди подразделений УВД. Количество направленных в суд уголовных дел по сравнению с прошлым годом сократилось почти в 1,1 раза (с 211 до 187).</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Также не удалось добиться положительных результатов по направлению в суд уголовных дел по преступлениям, относящимся к категории тяжкие и особо тяжкие уголовной направленности. Их количество сократилось с 51  до 45, процент раскрываемости составил 20,45%,  однако сократилось число и количество уголовных дел данной категории, приостановленных по ч.1 п.1 ст. 208 УПК (с 223 до 175).</w:t>
      </w:r>
    </w:p>
    <w:p w:rsidR="00BA33ED" w:rsidRPr="00BA33ED" w:rsidRDefault="00BA33ED" w:rsidP="00BA33ED">
      <w:pPr>
        <w:shd w:val="clear" w:color="auto" w:fill="FFFFFF"/>
        <w:spacing w:before="150" w:after="150" w:line="360" w:lineRule="atLeast"/>
        <w:rPr>
          <w:rFonts w:ascii="Arial" w:hAnsi="Arial" w:cs="Arial"/>
          <w:color w:val="000000"/>
          <w:lang w:val="ru-RU"/>
        </w:rPr>
      </w:pPr>
      <w:r w:rsidRPr="00BA33ED">
        <w:rPr>
          <w:rFonts w:ascii="Arial" w:hAnsi="Arial" w:cs="Arial"/>
          <w:color w:val="000000"/>
          <w:lang w:val="ru-RU"/>
        </w:rPr>
        <w:t>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4FD5"/>
    <w:multiLevelType w:val="multilevel"/>
    <w:tmpl w:val="D946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ED"/>
    <w:rsid w:val="009C473A"/>
    <w:rsid w:val="00BA33E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A33E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33ED"/>
    <w:rPr>
      <w:rFonts w:ascii="Times" w:hAnsi="Times"/>
      <w:b/>
      <w:bCs/>
      <w:kern w:val="36"/>
      <w:sz w:val="48"/>
      <w:szCs w:val="48"/>
    </w:rPr>
  </w:style>
  <w:style w:type="character" w:customStyle="1" w:styleId="apple-converted-space">
    <w:name w:val="apple-converted-space"/>
    <w:basedOn w:val="a0"/>
    <w:rsid w:val="00BA33ED"/>
  </w:style>
  <w:style w:type="paragraph" w:styleId="a3">
    <w:name w:val="Normal (Web)"/>
    <w:basedOn w:val="a"/>
    <w:uiPriority w:val="99"/>
    <w:unhideWhenUsed/>
    <w:rsid w:val="00BA33E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A33ED"/>
    <w:rPr>
      <w:b/>
      <w:bCs/>
    </w:rPr>
  </w:style>
  <w:style w:type="character" w:styleId="a5">
    <w:name w:val="Emphasis"/>
    <w:basedOn w:val="a0"/>
    <w:uiPriority w:val="20"/>
    <w:qFormat/>
    <w:rsid w:val="00BA33E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A33E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33ED"/>
    <w:rPr>
      <w:rFonts w:ascii="Times" w:hAnsi="Times"/>
      <w:b/>
      <w:bCs/>
      <w:kern w:val="36"/>
      <w:sz w:val="48"/>
      <w:szCs w:val="48"/>
    </w:rPr>
  </w:style>
  <w:style w:type="character" w:customStyle="1" w:styleId="apple-converted-space">
    <w:name w:val="apple-converted-space"/>
    <w:basedOn w:val="a0"/>
    <w:rsid w:val="00BA33ED"/>
  </w:style>
  <w:style w:type="paragraph" w:styleId="a3">
    <w:name w:val="Normal (Web)"/>
    <w:basedOn w:val="a"/>
    <w:uiPriority w:val="99"/>
    <w:unhideWhenUsed/>
    <w:rsid w:val="00BA33E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A33ED"/>
    <w:rPr>
      <w:b/>
      <w:bCs/>
    </w:rPr>
  </w:style>
  <w:style w:type="character" w:styleId="a5">
    <w:name w:val="Emphasis"/>
    <w:basedOn w:val="a0"/>
    <w:uiPriority w:val="20"/>
    <w:qFormat/>
    <w:rsid w:val="00BA33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6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4974</Characters>
  <Application>Microsoft Macintosh Word</Application>
  <DocSecurity>0</DocSecurity>
  <Lines>41</Lines>
  <Paragraphs>11</Paragraphs>
  <ScaleCrop>false</ScaleCrop>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2015-01-25T20:41:00Z</dcterms:created>
  <dcterms:modified xsi:type="dcterms:W3CDTF">2015-01-25T20:41:00Z</dcterms:modified>
</cp:coreProperties>
</file>