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881" w:rsidRPr="00754881" w:rsidRDefault="00754881" w:rsidP="00754881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754881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Информационно-аналитическая записка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b/>
          <w:bCs/>
          <w:color w:val="000000"/>
          <w:lang w:val="ru-RU"/>
        </w:rPr>
        <w:t>Аналитическая записка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к оперативному совещанию при начальнике Отдела МВД России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по Лосиноостровскому району г. Москвы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b/>
          <w:bCs/>
          <w:color w:val="000000"/>
          <w:u w:val="single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b/>
          <w:bCs/>
          <w:color w:val="000000"/>
          <w:lang w:val="ru-RU"/>
        </w:rPr>
        <w:t>Сведения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 штатной численности и некомплекте по состоянию на 01.01.2016 год.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</w:t>
      </w:r>
    </w:p>
    <w:tbl>
      <w:tblPr>
        <w:tblW w:w="9435" w:type="dxa"/>
        <w:tblBorders>
          <w:top w:val="single" w:sz="6" w:space="0" w:color="CECECE"/>
          <w:left w:val="single" w:sz="6" w:space="0" w:color="CECECE"/>
          <w:bottom w:val="single" w:sz="6" w:space="0" w:color="CECECE"/>
          <w:right w:val="single" w:sz="6" w:space="0" w:color="CECEC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2252"/>
        <w:gridCol w:w="2244"/>
        <w:gridCol w:w="2524"/>
      </w:tblGrid>
      <w:tr w:rsidR="00754881" w:rsidRPr="00754881" w:rsidTr="00754881"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Подразделение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Штатная численность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Некомплект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Привлечено сотрудников к дисциплинарной ответственности</w:t>
            </w:r>
          </w:p>
        </w:tc>
      </w:tr>
      <w:tr w:rsidR="00754881" w:rsidRPr="00754881" w:rsidTr="00754881"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Всего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140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18 (12,9%)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28</w:t>
            </w:r>
          </w:p>
        </w:tc>
      </w:tr>
      <w:tr w:rsidR="00754881" w:rsidRPr="00754881" w:rsidTr="00754881"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ОУР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8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2 (25%)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2</w:t>
            </w:r>
          </w:p>
        </w:tc>
      </w:tr>
      <w:tr w:rsidR="00754881" w:rsidRPr="00754881" w:rsidTr="00754881"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ОУУП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20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4 (20%)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5</w:t>
            </w:r>
          </w:p>
        </w:tc>
      </w:tr>
      <w:tr w:rsidR="00754881" w:rsidRPr="00754881" w:rsidTr="00754881"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ППСП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51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8 (15,7%)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5</w:t>
            </w:r>
          </w:p>
        </w:tc>
      </w:tr>
      <w:tr w:rsidR="00754881" w:rsidRPr="00754881" w:rsidTr="00754881"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СО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8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0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lang w:val="ru-RU"/>
              </w:rPr>
              <w:t>0</w:t>
            </w:r>
          </w:p>
        </w:tc>
      </w:tr>
      <w:tr w:rsidR="00754881" w:rsidRPr="00754881" w:rsidTr="00754881"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ОД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8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0</w:t>
            </w:r>
          </w:p>
        </w:tc>
        <w:tc>
          <w:tcPr>
            <w:tcW w:w="3280" w:type="dxa"/>
            <w:tcBorders>
              <w:top w:val="single" w:sz="6" w:space="0" w:color="CECECE"/>
              <w:left w:val="single" w:sz="6" w:space="0" w:color="CECECE"/>
              <w:bottom w:val="single" w:sz="6" w:space="0" w:color="CECECE"/>
              <w:right w:val="single" w:sz="6" w:space="0" w:color="CECECE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754881" w:rsidRPr="00754881" w:rsidRDefault="00754881" w:rsidP="00754881">
            <w:pPr>
              <w:spacing w:before="150" w:after="150" w:line="408" w:lineRule="atLeast"/>
              <w:jc w:val="center"/>
              <w:rPr>
                <w:rFonts w:ascii="Times" w:hAnsi="Times" w:cs="Times New Roman"/>
                <w:color w:val="000000"/>
                <w:lang w:val="ru-RU"/>
              </w:rPr>
            </w:pPr>
            <w:r w:rsidRPr="00754881">
              <w:rPr>
                <w:rFonts w:ascii="Times" w:hAnsi="Times" w:cs="Times New Roman"/>
                <w:b/>
                <w:bCs/>
                <w:color w:val="000000"/>
                <w:lang w:val="ru-RU"/>
              </w:rPr>
              <w:t>3</w:t>
            </w:r>
          </w:p>
        </w:tc>
      </w:tr>
    </w:tbl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b/>
          <w:bCs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 соответствии с методикой оценки деятельности органов внутренних дел, предусмотренной требованиями приказа МВД России от 31 декабря 2013 года № 1040, деятельность ОМВД за 2015 год оценивается «</w:t>
      </w:r>
      <w:r w:rsidRPr="00754881">
        <w:rPr>
          <w:rFonts w:ascii="Arial" w:hAnsi="Arial" w:cs="Arial"/>
          <w:b/>
          <w:bCs/>
          <w:color w:val="000000"/>
          <w:lang w:val="ru-RU"/>
        </w:rPr>
        <w:t>отрицательно</w:t>
      </w:r>
      <w:r w:rsidRPr="00754881">
        <w:rPr>
          <w:rFonts w:ascii="Arial" w:hAnsi="Arial" w:cs="Arial"/>
          <w:color w:val="000000"/>
          <w:lang w:val="ru-RU"/>
        </w:rPr>
        <w:t xml:space="preserve">», общая оценка эффективности деятельности составила 65,32 баллов (средневзвешенная </w:t>
      </w:r>
      <w:r w:rsidRPr="00754881">
        <w:rPr>
          <w:rFonts w:ascii="Arial" w:hAnsi="Arial" w:cs="Arial"/>
          <w:color w:val="000000"/>
          <w:lang w:val="ru-RU"/>
        </w:rPr>
        <w:lastRenderedPageBreak/>
        <w:t>65,85), что является 78 показателем среди из 129 Отделов ГУ МВД России по г. Москве.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b/>
          <w:bCs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b/>
          <w:bCs/>
          <w:color w:val="000000"/>
          <w:u w:val="single"/>
          <w:lang w:val="ru-RU"/>
        </w:rPr>
        <w:t>Оперативная обстановка и раскрытие преступлений.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b/>
          <w:bCs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За 2015 год в Отделе МВД России по Лосиноостровскому району г. Москвы зарегистрировано заявлений, сообщений и иной информации о происшествиях больше на 1852 (с 21782 до 23634).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Остановимся на общих данных о состоянии криминогенной обстановки на территории района.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На территории обслуживания Отдела МВД России по Лосиноостровскому району г. Москвы на 10,88% уменьшилось количество зарегистрированных преступлений (с 928 до 827, по округу возросло на 4,1%).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Сократилось количество зарегистрированных тяжких и особо тяжких преступлений на 18,9% (с 333 до 270, по округу на 9,2%).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Удельный вес тяжких и особо тяжких преступлений, от общего числа зарегистрированных составил 32,6%, по округу 26,1.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Отмечается рост совершенных преступных деяний за счет увеличения числа зарегистрированных: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-умышленных причинений тяжкого вреда здоровью со смертельным исходом на 100% (с 1 до 2, остается на прежне уровне по округу 94,74%), лицо установлено 2 (1);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разбойные нападения 120% (с 5 до 11, по округу увеличилось на 5,6%), лицо установлено 11 (2);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Кражи 0,6 % (354 до 356) по округу возросло на 11,3%, лицо установлено 128 (80);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неправомерное завладение автотранспортным средством 60,% (с 5 до 8), лицо установлено 5 (6).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С целью снижения количества совершаемых грабежей, квартирных краж, кражи транспорта осуществляется отработка территории, с целью выявления мест сбыта  имущества, добытого преступным путем, а именно ломбарды, комиссионные скупки, места скопления лиц без определенного места жительства.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Участковыми уполномоченными полиции проводятся информирование жителей района о способах и видах совершаемых преступлений, отрабатываются лица, ранее судимые за аналогичные преступления, проживающие на территории обслуживания.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Проведенной работой сотрудникам Отдела удалось снизить число совершаемых преступлений связанных с: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грабежами на 30,6% (с 49 до 34, по округу снизилось на 3,6%), лицо установлено 20 (22);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кражи из квартир на 8,3% (с 36 до 33, по округу снизилось на 6,4%), лицо установлено 11 (2);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кражи транспортных средств на 11,4 % (с 44 до 39, по округу снизилось 14,3%), лицо установлено 7 (6).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Мошенничество на 0% (с 61 до 61, по округу возросло 12,3%), лицо установлено 8 (4).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Сотрудниками уголовного розыска при выявлении преступлений, связанных с незаконным оборотом наркотических средств в обязательном порядке прорабатываются версии и проводятся мероприятия, направленные на выявление и раскрытие фактов сбыта наркотических средств.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 связи с принятыми мерами удалось снизить регистрацию незаконного оборота наркотиков 40,2% (с 219 до 131, по округу снизился на 24%), лицо установлено 33 (76).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Проведенный анализ показывает, что число раскрытых преступлений увеличилось на 6,46% или 21 больше по сравнению с прошлым годом (с 325 до 346) из них: раскрыто особо тяжкие преступления 38,5% (с 13 до 18); небольшой тяжести 19,8% (с 192 до 230).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Уменьшилось число раскрытых преступлений таких как: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преступления средней тяжести 21,9%, а по округу произошло увеличение на 14,7 %);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тяжкие преступления 25,6 % (по округу увеличилось на 27,4%);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мошенничество 1,8% (по округу снизилось на 7,5%);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неправомерное завладение транспортным средством 57,1 (по округу произошло снижение на 36,1%);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незаконный оборот оружия 50% (по округу снизилось на 53,2%);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незаконный оборот наркотиков 30,6% (по округу увеличилось на 43,5%);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Увеличилось число раскрываемости по следующим видам преступлений: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убийство 75% (с 0 до 3, по округу возросло на 77,8%);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разбой 83,3% (с 2 до 5,по округу возросло на 57,8%);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грабежи 38,1% (с 12 до 16, по округу возросло на 34,9%);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кражи 28,8 % (с 58 до 103,по округу возросло на 15,2%), в том числе квартирные кражи 25% (с 2 до 9, по округу возросло на 14,7%);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- кражи транспорта 10,5% (с 0 до 4).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Число преступлений совершаемых в общественных местах снизилось на 6,7% (с 480 до 448) раскрыто на 34,8 % больше, в том числе на улицах уменьшилось на 12,5% (с 359 до 314) раскрываемость на улицах остается на прежнем уровне 29,2%.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 целях недопущения совершения преступлений на улицах района особое внимание уделяется работе нарядов, задействованных в системе единой дислокации, проверки лиц, находящихся в ночное время на улицах района.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Уголовным розыском раскрыто меньше на 5 преступлений (с 75 до 70), нагрузка на одного оперуполномоченного по раскрытию преступлений составила 7,8 (7,5), (УВД – 3,6), 2 место по округу (5). По горячим следам раскрыто 12 преступлений, с использованием видеонаблюдением раскрыто 3 преступления.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Участковыми уполномоченными раскрыто на 1 преступление меньше (с138 до 137), нагрузка на одного участкового уполномоченного по раскрытию преступлений составила: 7,2 (8,1), (УВД 4,2), 1 место по округу. По горячим следам раскрыто 5 преступлений, с использованием видеонаблюдением раскрыто 1 преступления.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 2015 г. под административный надзор поставлено 7 правонарушителей, из которых по инициативе ОМВД - 2 по инициативе ИК - 5.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Всего по состоянию на 01.01.2016  года под административным надзором в ЗИЦ ГУ МВД Росси по г. Москве состоит 12 правонарушителей, проживающих на территории Отдела, из них: поставленных по инициативе ОМВД - 1, по инициативе исправительных учреждений - 10.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Однако следует отметить, что работе с лицами, состоящими под административным надзором, со стороны участковых уполномоченных полиции и оперуполномоченных уголовного розыска в 2015 году уделялось недостаточное внимание, в связи с чем, данными лицами совершено 4 преступлений, из них: за уклонение административного надзора (ст. 314.1 ч. 2 УК РФ) – 2; иные – 2:  по ст. 162 ч.3 УК РФ, по ст. 158 ч. 2 УК РФ.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Также, с положительной стороны хочется отметить работу участковых уполномоченных полиции Отдела, при задержании поднадзорного лица, совершившего преступление.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 отношении 8 лиц, состоящих под административным надзором, составлено 40 протоколов об административных правонарушениях.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Сотрудниками ППСП раскрыто на 4 преступлений больше (с 48 до 52), нагрузка на одного сотрудника ППСП по раскрытию преступлений составила 1,02 (0,94), (УВД 0,8), место 8 (7). По горячим следам раскрыто 3 преступление, с использованием видеонаблюдением раскрыто 3 преступления.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Большинство сотрудников Отдела таких подразделений как уголовного розыска, участковых уполномоченных полиции находятся на должности менее года.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Одной из проблем остаётся рост зарегистрированных преступлений совершенных несовершеннолетними.Несовершеннолетними на территории Лосиноостровского района совершено больше на 9 преступлений (с 6 до 15), из них жителями нашего района 5, из них: 1 преступление (115 ч. 2, 115 ч. 2 УК РФ); 1 преступление (158 ч. 1 УК РФ); 1 преступление (158 ч. 2 УК РФ); 10 преступлений совершены жителями других районов.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 отношении несовершеннолетних совершено 9 преступлений, из них: в отношении детей до 14 лет – 3, в отношении несовершеннолетних с 15 до 18 лет – 6. С применением насилия – 2.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Инспектором ГДН раскрыто преступлений – 5 (ст. 158 ч. 2 УК РФ; 158 ч. 1 УК РФ, ст. 116. ч. 1 УК РФ, 134 ч. 4 УК РФ, 162 ч. 2 УК РФ).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За 12 месяцев 2015 года ГДН Отдела МВД России по Лосиноостровскому району г. Москвы выявлено и поставлено на учет 8 несовершеннолетних меньше (с 88 до 80), меньше на 8 родителей (с110до 102). Доставлено больше на 5 несовершеннолетних правонарушителей в Отдел МВД России по Лосиноостровскому району г. Москвы. Направлено в ЦВСНП меньше на 6 (с 11 до 5), медицинское учреждение больше на 4 (с 64 до 68). За административное правонарушение привлечено к ответственности меньше на 20 несовершеннолетних (с 73 до 59), а в отношении родителей составлено больше на 6 административных материалов.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На территории обслуживания отдела МВД России по Лосиноостровскому району г. Москвы владельцев гладкоствольных длинноствольных охотничьих ружей, лицензий на оружие самообороны, охотничьих ружей с нарезным стволом – 2998.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За 2015 г. принято к рассмотрению1229 заявлений, из них: выданолицензии на приобретение оружия самообороны,лицензий на хранение и ношение газового оружия самообороны40, лицензии на приобретение охотничьих гладкоствольных оружий-163, лицензий приобретение огнестрельного оружия ограниченного поражения - 81, разрешен на хранение и ношение охотничьего пневматического, огнестрельного оружиялибо оружия ограниченного поражения и патронов к нему-308, разрешений направо ношения охотничьего гладкоствольного оружия - 618.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Выявлено 217 нарушений административного законодательства, составлено 217 административных протоколов на граждан допустивших нарушение сроков перерегистрации гражданского оружия н нарушивших условий хранения и ношения гражданского оружия.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Изъято из гражданского оборота 151 единиц оружия, а также добровольно сдано 122 единиц гражданского оружия.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За 2015 год в отделение дознания находилось в производстве больше на 10 уголовных дела (с 542 до 552) из них: возбуждено меньшена 5 уголовных дел (с 379 до 344); расследовано  больше на 15 уголовных дел (с425до 439);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отменено решений о возбуждении уголовного дела меньше на 1 (с 2 до 1); окончено уголовных дел с повторно оконченными  больше на 16 уголовных дел (с 118 до 134)в том числе в срок свыше установленного УПК РФ – 56, что составляет 41,8%, в том числе из ранее приостановленных уголовных дел – 13, (в 2014 – 62 что составило – 52,5%).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Отделение дознания направилобольше на 15 уголовных дел в суд (с 114 до 129); число обвиняемых по делам направленным в суд увеличилось на  (с 114до 129); прекращено уголовных дел – 13 (амнистия),  (в 2014 – 4), в том числе по реабилитирующим основаниям (с 0 до 0); возвращено уголовных дел для производства дополнительного дознания прокурором – 6 (с 17 до 6), для переоставления обвинительного акта возвращено – 0 уголовное дело (в 2014 – 1); возвращено уголовных дел оконченных с обвинительным постановлением, для производства дознания в общем порядке прокурором – 2 (с 0до 2), судом – 1 (с0 до 1); приостановлено на 1 уголовное дело больше по ст. 208 ч. 1 п. 2–4 (с 8 до 9); приостановлено меньше  на 8 уголовных дел по ст. 208 ч. 1 п. 1 (с304до296). Нагрузка по оконченным уголовным делам составила 14, 9 (13,1), а по направленным в суд уголовных дел составило 14,3 (12,7).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Одновременно качество расследования уголовных дел улучшилось, так количество оконченных уголовных дел с превышением сроков уголовно-процессуального законодательства РФ снизилось с 49 до 43. Также количество в 2015 году, уголовных дел, возвращено прокурором дел для производства дополнительного дознания снизилось с 17 до 6, а количество возвращенных прокурором для пересоставления обвинительного акта уголовных дел снизилось с 1 до 0.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Одним из основных критериев, характеризующих работу дознания по обеспечению прав граждан, организаций и предприятий, является возмещение материального ущерба по оконченным уголовным делам. Так за 2015 год показатель возмещения ущерба по уголовным делам значительно увеличился и составил 83% (АППГ – 36.7%).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В соответствии с предварительной системой оценки деятельности за 2015 год подразделение дознания оценивается </w:t>
      </w:r>
      <w:r w:rsidRPr="00754881">
        <w:rPr>
          <w:rFonts w:ascii="Arial" w:hAnsi="Arial" w:cs="Arial"/>
          <w:color w:val="000000"/>
          <w:u w:val="single"/>
          <w:lang w:val="ru-RU"/>
        </w:rPr>
        <w:t>удовлетворительно.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За 2015 год в производстве следственного подразделения находилось 476 уголовных дел, что на 88 меньше чем в прошлом году. Из них расследовано 402 уголовных дел, что на 8 дел меньше, чем в прошлом году. Окончено 78 уголовных дел, что на 14 дел меньше чем в прошлом году. Направлено в суд 72 дела на 94 эпизода преступной деятельности, что в сравнении с прошлым годом на 20 дел меньше, из них свыше УПК РФ окончено 38 уголовных дел, что на 7 уголовных дел больше, чем в прошлом году. Прекращено в отчетном периоде 6 уголовных дел по амнистии. Нагрузка по оконченным уголовным делам составила 8,0 (округ 6,9), по направленным в суд уголовных дел составило 7,3 (округ 6,2).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На доследование возвращено 11 уголовных дел, что на 7 дел больше чем в прошлом году.Количество уголовных дел приостановленных на основании  п.п. 2,3 ч. 1 ст. 208 УПК РФ осталось таким же – 2 уголовных дела. Снизилось количество уголовных дел приостановленных по болезни с 4 до 0. Уменьшилось количество приостановленных уголовных дел по неочевидным преступлениям с 369до 362. Нагрузка на штатную единицу по находящимся в производстве уголовным делам снизилась с 78,4 до 51,2 уголовных дел, по оконченным делам  составила 8,0 при среднеокружном 6,9, по направленным в суд 7,3 при среднеокружном показателе 6,2. По ранжированным показателям подразделение занимает по г.Москве 98 место из 124.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С учетом анализа работы за 2015 год в 2016 году необходимо сосредоточить усилия на повышении результативности раскрытия и расследования тяжких преступлений, сокращению остатка нераскрытых преступлений, снижению сроков следствия, улучшению качества следствия и законности, повышению уровня профессиональной подготовки следователей и служебной дисциплины.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Деятельность Отдела МВД России по Лосиноостровскому району г. Москвы за 2015 год в соответствии с методикой оценки деятельности органов внутренних дел, предусмотренной приказом МВД России от 31 декабря 2013 года № 1040, оценивается «</w:t>
      </w:r>
      <w:r w:rsidRPr="00754881">
        <w:rPr>
          <w:rFonts w:ascii="Arial" w:hAnsi="Arial" w:cs="Arial"/>
          <w:b/>
          <w:bCs/>
          <w:color w:val="000000"/>
          <w:lang w:val="ru-RU"/>
        </w:rPr>
        <w:t>отрицательно</w:t>
      </w:r>
      <w:r w:rsidRPr="00754881">
        <w:rPr>
          <w:rFonts w:ascii="Arial" w:hAnsi="Arial" w:cs="Arial"/>
          <w:color w:val="000000"/>
          <w:lang w:val="ru-RU"/>
        </w:rPr>
        <w:t>», общая оценка эффективности деятельности составила 65,32 баллов (средневзвешенная 65,85), что является 78 показателем среди из 129 Отделов ГУ МВД России по г. Москве.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Учитывая вышеизложенное, а также в целях стабилизации оперативной обстановки, укрепления правопорядка мы приложим все возможные усилия, и необходимый комплекс мер, направленный на предупреждение и раскрытие тяжких и особо тяжких преступлений, а также укрепления законности, учетно регистрационной исполнительской дисциплины.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Руководителям и личному составу приложить все усилия для устранения имеющихся недостатков в полном объеме.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Взять на особый контроль работу предварительного следствия и дознания ОМВД.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 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Начальник Отдела МВД России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по Лосиноостровскому району г. Москвы</w:t>
      </w:r>
    </w:p>
    <w:p w:rsidR="00754881" w:rsidRPr="00754881" w:rsidRDefault="00754881" w:rsidP="00754881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754881">
        <w:rPr>
          <w:rFonts w:ascii="Arial" w:hAnsi="Arial" w:cs="Arial"/>
          <w:color w:val="000000"/>
          <w:lang w:val="ru-RU"/>
        </w:rPr>
        <w:t>подполковник полиции                                                                            В.В. Петров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881"/>
    <w:rsid w:val="00754881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5488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881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5488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754881"/>
    <w:rPr>
      <w:b/>
      <w:bCs/>
    </w:rPr>
  </w:style>
  <w:style w:type="character" w:customStyle="1" w:styleId="apple-converted-space">
    <w:name w:val="apple-converted-space"/>
    <w:basedOn w:val="a0"/>
    <w:rsid w:val="00754881"/>
  </w:style>
  <w:style w:type="paragraph" w:customStyle="1" w:styleId="21">
    <w:name w:val="21"/>
    <w:basedOn w:val="a"/>
    <w:rsid w:val="00754881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754881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881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54881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754881"/>
    <w:rPr>
      <w:b/>
      <w:bCs/>
    </w:rPr>
  </w:style>
  <w:style w:type="character" w:customStyle="1" w:styleId="apple-converted-space">
    <w:name w:val="apple-converted-space"/>
    <w:basedOn w:val="a0"/>
    <w:rsid w:val="00754881"/>
  </w:style>
  <w:style w:type="paragraph" w:customStyle="1" w:styleId="21">
    <w:name w:val="21"/>
    <w:basedOn w:val="a"/>
    <w:rsid w:val="00754881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2185</Words>
  <Characters>12457</Characters>
  <Application>Microsoft Macintosh Word</Application>
  <DocSecurity>0</DocSecurity>
  <Lines>103</Lines>
  <Paragraphs>29</Paragraphs>
  <ScaleCrop>false</ScaleCrop>
  <Company/>
  <LinksUpToDate>false</LinksUpToDate>
  <CharactersWithSpaces>14613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2016-07-15T10:09:00Z</dcterms:created>
  <dcterms:modified xsi:type="dcterms:W3CDTF">2016-07-15T10:09:00Z</dcterms:modified>
</cp:coreProperties>
</file>