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037" w:rsidRPr="00653037" w:rsidRDefault="00653037" w:rsidP="00653037">
      <w:pPr>
        <w:shd w:val="clear" w:color="auto" w:fill="FFFFFF"/>
        <w:outlineLvl w:val="0"/>
        <w:rPr>
          <w:rFonts w:ascii="Arial" w:eastAsia="Times New Roman" w:hAnsi="Arial" w:cs="Arial"/>
          <w:color w:val="000000"/>
          <w:kern w:val="36"/>
          <w:sz w:val="30"/>
          <w:szCs w:val="30"/>
          <w:lang w:val="ru-RU"/>
        </w:rPr>
      </w:pPr>
      <w:r w:rsidRPr="00653037">
        <w:rPr>
          <w:rFonts w:ascii="Arial" w:eastAsia="Times New Roman" w:hAnsi="Arial" w:cs="Arial"/>
          <w:color w:val="000000"/>
          <w:kern w:val="36"/>
          <w:sz w:val="30"/>
          <w:szCs w:val="30"/>
          <w:lang w:val="ru-RU"/>
        </w:rPr>
        <w:t>Информационно-аналитическая записка</w:t>
      </w:r>
    </w:p>
    <w:p w:rsidR="00653037" w:rsidRPr="00653037" w:rsidRDefault="00653037" w:rsidP="00653037">
      <w:pPr>
        <w:shd w:val="clear" w:color="auto" w:fill="FFFFFF"/>
        <w:spacing w:line="408" w:lineRule="atLeast"/>
        <w:jc w:val="center"/>
        <w:outlineLvl w:val="1"/>
        <w:rPr>
          <w:rFonts w:ascii="Arial" w:eastAsia="Times New Roman" w:hAnsi="Arial" w:cs="Arial"/>
          <w:color w:val="000000"/>
          <w:sz w:val="36"/>
          <w:szCs w:val="36"/>
          <w:lang w:val="ru-RU"/>
        </w:rPr>
      </w:pPr>
      <w:r w:rsidRPr="00653037">
        <w:rPr>
          <w:rFonts w:ascii="Arial" w:eastAsia="Times New Roman" w:hAnsi="Arial" w:cs="Arial"/>
          <w:color w:val="000000"/>
          <w:sz w:val="36"/>
          <w:szCs w:val="36"/>
          <w:lang w:val="ru-RU"/>
        </w:rPr>
        <w:t>Информационно-аналитическая записка</w:t>
      </w:r>
    </w:p>
    <w:p w:rsidR="00653037" w:rsidRPr="00653037" w:rsidRDefault="00653037" w:rsidP="00653037">
      <w:pPr>
        <w:shd w:val="clear" w:color="auto" w:fill="FFFFFF"/>
        <w:spacing w:line="408" w:lineRule="atLeast"/>
        <w:jc w:val="center"/>
        <w:outlineLvl w:val="1"/>
        <w:rPr>
          <w:rFonts w:ascii="Arial" w:eastAsia="Times New Roman" w:hAnsi="Arial" w:cs="Arial"/>
          <w:color w:val="000000"/>
          <w:sz w:val="36"/>
          <w:szCs w:val="36"/>
          <w:lang w:val="ru-RU"/>
        </w:rPr>
      </w:pPr>
      <w:r w:rsidRPr="00653037">
        <w:rPr>
          <w:rFonts w:ascii="Arial" w:eastAsia="Times New Roman" w:hAnsi="Arial" w:cs="Arial"/>
          <w:color w:val="000000"/>
          <w:sz w:val="36"/>
          <w:szCs w:val="36"/>
          <w:lang w:val="ru-RU"/>
        </w:rPr>
        <w:t>Отдела МВД России по Останкинскому району г. Москвы</w:t>
      </w:r>
    </w:p>
    <w:p w:rsidR="00653037" w:rsidRPr="00653037" w:rsidRDefault="00653037" w:rsidP="00653037">
      <w:pPr>
        <w:shd w:val="clear" w:color="auto" w:fill="FFFFFF"/>
        <w:spacing w:line="408" w:lineRule="atLeast"/>
        <w:jc w:val="center"/>
        <w:outlineLvl w:val="1"/>
        <w:rPr>
          <w:rFonts w:ascii="Arial" w:eastAsia="Times New Roman" w:hAnsi="Arial" w:cs="Arial"/>
          <w:color w:val="000000"/>
          <w:sz w:val="36"/>
          <w:szCs w:val="36"/>
          <w:lang w:val="ru-RU"/>
        </w:rPr>
      </w:pPr>
      <w:r w:rsidRPr="00653037">
        <w:rPr>
          <w:rFonts w:ascii="Arial" w:eastAsia="Times New Roman" w:hAnsi="Arial" w:cs="Arial"/>
          <w:color w:val="000000"/>
          <w:sz w:val="36"/>
          <w:szCs w:val="36"/>
          <w:lang w:val="ru-RU"/>
        </w:rPr>
        <w:t>за 12 месяцев 2015 года</w:t>
      </w:r>
    </w:p>
    <w:p w:rsidR="00653037" w:rsidRPr="00653037" w:rsidRDefault="00653037" w:rsidP="00653037">
      <w:pPr>
        <w:shd w:val="clear" w:color="auto" w:fill="FFFFFF"/>
        <w:spacing w:before="150" w:after="150" w:line="408" w:lineRule="atLeast"/>
        <w:jc w:val="center"/>
        <w:rPr>
          <w:rFonts w:ascii="Arial" w:hAnsi="Arial" w:cs="Arial"/>
          <w:color w:val="000000"/>
          <w:lang w:val="ru-RU"/>
        </w:rPr>
      </w:pPr>
      <w:r w:rsidRPr="00653037">
        <w:rPr>
          <w:rFonts w:ascii="Arial" w:hAnsi="Arial" w:cs="Arial"/>
          <w:color w:val="000000"/>
          <w:lang w:val="ru-RU"/>
        </w:rPr>
        <w:t> </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Территория Отдела МВД России по Останкинскому району               г. Москвы занимает площадь 1239,4 кв.км, которая граничит с ОМВД России по Алексеевскому району г. Москвы, ОМВД России по району Марьина Роща г. Москвы, ОМВД России по Бутырскому району г. Москвы, ОМВД России по району Марфино г. Москвы, ОМВД полиции на ВВЦ.</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На территории района расположено - 250 зданий, в том числе: жилых домов - 169, административных зданий - 49, учебных заведений - 18, общежитий - 0, гостиниц - 1, рынков - 1. На территории района постоянно проживают - 60900 человек.</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На территории Останкинского района расположена одна станция Московского метрополитена (ВДНХ), одна железнодорожная станция (платформа «Останкино»), две конечные остановки общественного транспорта.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Основными автомобильными магистралями района являются проспект Мира протяженностью - 8,5 км, ул. Академика Королева протяженностью - 3 км.</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Много важных и значимых событий произошло в районе за 2015 год и практически ни одно из них не обошлось без участия сотрудников полиции. За отчетный период сотрудниками Отдела осуществлялась охрана общественного порядка на территории района при подготовке и проведению массовых общественно-политических, спортивных, культурных, религиозных мероприятий. Чрезвычайных происшествий и нарушений общественного порядка допущено не было.</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В тесном взаимодействии с Управой района, в рамках деятельности антитеррористической комиссии района, обеспечивали безопасность граждан и объектов от террористической угрозы и проявлений экстремизма. Фактов терроризма и экстремизма в отчетном периоде не зафиксировано.   </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lastRenderedPageBreak/>
        <w:t>         Большое значение придается техническим средствам и реализации региональной программы города Москвы – автоматизированный программный комплекс «Безопасный город».</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Важнейшей составляющей этой программы, широко используемой в деятельности полиции, являются камеры видеонаблюдения, которые установлены на подъездах жилых домов, во дворах, а также в местах массового пребывания граждан.</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Деятельность органов внутренних дел в истекшем периоде 2015 года была направлена на стабилизацию оперативной обстановки в районе и акцентирована на приоритетных и проблем</w:t>
      </w:r>
      <w:r w:rsidRPr="00653037">
        <w:rPr>
          <w:rFonts w:ascii="Arial" w:hAnsi="Arial" w:cs="Arial"/>
          <w:color w:val="000000"/>
          <w:lang w:val="ru-RU"/>
        </w:rPr>
        <w:softHyphen/>
        <w:t>ных направлениях борьбы с преступностью с принятием конкретных организационно-практических мер, что позволило сохранить в основном контроль за состоянием криминогенной ситуации в районе и обеспечить её стабильность, а также обеспечить снижение темпов роста отдельных видов преступности.</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За 12 месяцев 2015 года на территории обслуживания Отдела зарегистрировано - 1538 преступлений (АППГ-1343). Количество совершенных преступлений возросло на 191 случай. По 165 преступлениям лица их совершившие установлены и задержаны.</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За отчетный период на обслуживаемой территории произошел рост таких видов преступлений как:</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убийства - с 1 (2014г.) до 3 (2015г.), рост на 2 случая;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кражи - с 736 (2014г.) до 668 (2015г.), рост на 68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краж трансп. средств - с 53 (2014г.) до 54 (2015г.), рост на 1 случай;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мошенничество - с 240 (2014г.) до 515 (2015г.), рост на 275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несовершеннолетними - с 2 (2014г.) до 5 (2015г.), рост на 3 случая;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Отмечается снижение уровня преступности по таким видам преступлений как:</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кражи в квартиры - с 44 (2014г.) до 38 (2015г.), сниж. на 6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грабежи - с 94 (2014г.) до 68 (2015г.), сниж. на 26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разбои - с 9 (2014г.) до 6 (2015г.), сниж. на 3 случая;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хранение оружия - с 2 (2014г.) до 1 (2015г.), сниж. на 1 случай;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прест.связ. с наркот. - с 144 (2014г.) до 52 (2015г.), сниж. на 92 случая;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в обществен. местах - с 905 (2014г.) до 825 (2015г.), сниж. на 80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на улицах - с 620 (2014г.) до 550 (2015г.), сниж. на 70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иногородними - с 128 (2014г.) до 74 (2015г.), сниж. на 54 случая.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Одним из наиболее приоритетных направлений деятельности ОМВД является противодействие преступности. Доля раскрытых от общего количества совершенных преступлений позволяет наиболее объективно оценить эффективность и адекватность мер, предпринимаемых органами внутренних дел. За 12 месяцев истекшего года раскрыто - 165 преступлений.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На состояние оперативной обстановки на обслуживаемой территории большое влияние оказывает организация работы по раскрытию тяжких и особо тяжких преступлений.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За отчетный период зарегистрировано особо тяжких - 49 преступлений, раскрыто - 8 преступлений; тяжких - 254 преступления, раскрыто - 40 преступлений.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Одним из основных показателей оперативно-служебной деятельности служб и подразделений отдела является проводимая работа по установлению лиц, совершивших преступления.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За отчетный период из 1538 зарегистрированных преступлений на обслуживаемой территории всего раскрыто - 165 преступлений. Из них сотрудниками Отдела раскрыто - 121 преступление. Из них раскрыто:</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Уголовным розыском - 69 преступлений, это 1 место по окружному управлению.</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Участковыми уполномоченными полиции - 22 преступления, это 17 место по окружному управлению.</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Патрульно-постовой службой - 30 преступлений, это 5 место по окружному управлению.</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Одной из основных задач, стоящих перед подразделением является обеспечение надежной безопасности граждан и сохранности их имущества. Обстановка по линии имущественных преступлений остается сложной.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За отчетный период произошел рост количества зарегистрированных краж - с 736 (2014г.) до 668 (2015г.), рост на 68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Также отмечается рост количества краж транспортных средств - с 53 (2014г.) до 54 (2015г.), рост на 1 случай.  </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Снизилось количество совершенных квартирных краж - с 44 (2014г.) до 38 (2015г.), снижение на 6 случаев.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На прежнем уровне осталось количество преступлений связанных с неправомерным завладением транспорта - 4 (2014г.) и 4 (2015г.).</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В целях повышения результативности работы по данному виду преступлений силами участковых уполномоченных полиции, оперуполномоченных уголовного розыска проводится профилактическая работа с жителями района с целью постановки их квартир на централизованную охрану. Устанавливаются доверительные отношения с жильцами домов, сотрудниками жилищных организаций, со старшими по домам и подъездам.</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Деятельность нарядов задействованных в системе единой дислокации направлена на быстрое и качественное блокирование территории, розыску и задержанию преступников.</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Еще одной, несомненно, важной проблемой является стремительно развивающийся незаконный оборот наркотиков. Хотя преступлений указанной категории на обслуживаемой территории произошло снижение с - с 144 (2014г.) до 52 (2015г.), снижение на 92 случая. Хотя количество преступлений указанной категории значительно снизилось, но раскрываемость по данному виду преступлений составила 48,10%.</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Однако значительное количество преступлений пока остается не раскрытыми, а ведь за каждым из них стоят судьбы конкретных людей. Поэтому, основная задача, стоящая перед личным составом Отдела на 2016 год, заключается в повышении эффективности работы по защите населения от преступных посягательств и обеспечение общественного порядка.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Не менее важным направлением в обеспечении правопорядка и безопасности жителей района, является применение административного законодательства.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В этой части руководством Отдела проводилась политика ухода от количественных показателей и концентрации основных усилий на выявление и пресечение наиболее социально значимых административных правонарушений.</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В отношении лиц, допускающих нарушения административного законодательства города Москвы составляются административные материалы, которые направляются на рассмотрение на Административную Комиссию района, постоянным членом которой является заместитель начальника полиции по охране общественного порядка Отдела.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За отчетный период всего составлено административных протоколов – 1505. Из них: за мелкое хулиганство - 244; за распитие спиртных напитков - 760; за появление  в пьяном виде - 36; за нарушение правил торговли - 36; за нарушение паспортного режима - 89; прочие нарушения - 344. Оштрафовано - 1179 чел.; направлено в суд - 144 чел. Процент взыскаемости составил - 54,54%.</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         Одной из основных задач деятельности Отдела является предупреждение преступлений и правонарушений среди несовершеннолетних, антиобщественных действий подростков, безнадзорности, беспризорности, выявление и устранение причин и условий, способствующих этому, а также социально-педагогическая реабилитация несовершеннолетних, находящихся в социально-опасном положении. Работа в данном направлении строится во взаимодействии с            Комиссией по делам несовершеннолетних и защите их прав по Останкинскому району г. Москвы.</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С этой целью проводятся расширенные заседания Комиссии, совещания, круглые столы, с приглашением сотрудников Отделения по делам несовершеннолетних Отдела, на которых рассматриваются проблемные вопросы по данной тематике и ищутся пути их оптимального решения.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Активно проводится работа по воспитанию подросткового поколения и профилактике совершения ими правонарушений и преступлений. Сотрудники отделения по делам несовершеннолетних выступали с лекциями и беседами в учебных заведениях района, в ходе которых разъяснялось действующее законодательство и ответственность за его нарушение.</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В текущем году не удалось сохранилась положительной тенденции сокращения преступлений. Произошел рост на 3 случая, с 2 (2014г.) до 5 (2015г.), совершенных преступлений несовершеннолетними. К административной ответственности привлечено - 58 несовершеннолетних; 25 родителей, уклоняющихся от воспитания, содержания и обучения своих детей; помещено в центр временного содержания несовершеннолетних 4 правонарушителей, 37 несовершеннолетних направлено в медицинские учреждения.</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обращениями и заявлениями граждан.</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За текущий период всего зарегистрировано - 20443 заявления и сообщения граждан, это на 2180 случаев больше, чем в прошлом году. Ни одно обращение граждан не осталось без должного внимания, по каждому из них проводилась детальная проверка.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Все наши усилия направлены, прежде всего, на обеспечение неотвратимости наказания за совершенное противоправное деяние, восстановление справедливости в части нарушенных прав потерпевшего.</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Председатели общественных пунктов охраны порядка помогают участковым уполномоченным полиции в профилактической работе, занимаются приемом населения по любым бытовым вопросам.</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И в дальнейшем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 За отчетный период в отношении сотрудников Отдела не возбуждено ни одного уголовного дела за нарушение законности.</w:t>
      </w:r>
    </w:p>
    <w:p w:rsidR="00653037" w:rsidRPr="00653037" w:rsidRDefault="00653037" w:rsidP="00653037">
      <w:pPr>
        <w:shd w:val="clear" w:color="auto" w:fill="FFFFFF"/>
        <w:spacing w:before="150" w:after="150" w:line="408" w:lineRule="atLeast"/>
        <w:rPr>
          <w:rFonts w:ascii="Arial" w:hAnsi="Arial" w:cs="Arial"/>
          <w:color w:val="000000"/>
          <w:lang w:val="ru-RU"/>
        </w:rPr>
      </w:pPr>
      <w:r w:rsidRPr="00653037">
        <w:rPr>
          <w:rFonts w:ascii="Arial" w:hAnsi="Arial" w:cs="Arial"/>
          <w:color w:val="000000"/>
          <w:lang w:val="ru-RU"/>
        </w:rPr>
        <w:t>Повышение уровня безопасности в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Укрепление взаимодействия правоохранительных органов и общества является базовым принципом нашей работы.</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37"/>
    <w:rsid w:val="0065303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53037"/>
    <w:pPr>
      <w:spacing w:before="100" w:beforeAutospacing="1" w:after="100" w:afterAutospacing="1"/>
      <w:outlineLvl w:val="0"/>
    </w:pPr>
    <w:rPr>
      <w:rFonts w:ascii="Times" w:hAnsi="Times"/>
      <w:b/>
      <w:bCs/>
      <w:kern w:val="36"/>
      <w:sz w:val="48"/>
      <w:szCs w:val="48"/>
      <w:lang w:val="ru-RU"/>
    </w:rPr>
  </w:style>
  <w:style w:type="paragraph" w:styleId="2">
    <w:name w:val="heading 2"/>
    <w:basedOn w:val="a"/>
    <w:link w:val="20"/>
    <w:uiPriority w:val="9"/>
    <w:qFormat/>
    <w:rsid w:val="00653037"/>
    <w:pPr>
      <w:spacing w:before="100" w:beforeAutospacing="1" w:after="100" w:afterAutospacing="1"/>
      <w:outlineLvl w:val="1"/>
    </w:pPr>
    <w:rPr>
      <w:rFonts w:ascii="Times" w:hAnsi="Times"/>
      <w:b/>
      <w:bCs/>
      <w:sz w:val="36"/>
      <w:szCs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037"/>
    <w:rPr>
      <w:rFonts w:ascii="Times" w:hAnsi="Times"/>
      <w:b/>
      <w:bCs/>
      <w:kern w:val="36"/>
      <w:sz w:val="48"/>
      <w:szCs w:val="48"/>
    </w:rPr>
  </w:style>
  <w:style w:type="character" w:customStyle="1" w:styleId="20">
    <w:name w:val="Заголовок 2 Знак"/>
    <w:basedOn w:val="a0"/>
    <w:link w:val="2"/>
    <w:uiPriority w:val="9"/>
    <w:rsid w:val="00653037"/>
    <w:rPr>
      <w:rFonts w:ascii="Times" w:hAnsi="Times"/>
      <w:b/>
      <w:bCs/>
      <w:sz w:val="36"/>
      <w:szCs w:val="36"/>
    </w:rPr>
  </w:style>
  <w:style w:type="paragraph" w:styleId="a3">
    <w:name w:val="Normal (Web)"/>
    <w:basedOn w:val="a"/>
    <w:uiPriority w:val="99"/>
    <w:unhideWhenUsed/>
    <w:rsid w:val="00653037"/>
    <w:pPr>
      <w:spacing w:before="100" w:beforeAutospacing="1" w:after="100" w:afterAutospacing="1"/>
    </w:pPr>
    <w:rPr>
      <w:rFonts w:ascii="Times" w:hAnsi="Times" w:cs="Times New Roman"/>
      <w:sz w:val="20"/>
      <w:szCs w:val="20"/>
      <w:lang w:val="ru-RU"/>
    </w:rPr>
  </w:style>
  <w:style w:type="paragraph" w:customStyle="1" w:styleId="22">
    <w:name w:val="22"/>
    <w:basedOn w:val="a"/>
    <w:rsid w:val="00653037"/>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53037"/>
    <w:pPr>
      <w:spacing w:before="100" w:beforeAutospacing="1" w:after="100" w:afterAutospacing="1"/>
      <w:outlineLvl w:val="0"/>
    </w:pPr>
    <w:rPr>
      <w:rFonts w:ascii="Times" w:hAnsi="Times"/>
      <w:b/>
      <w:bCs/>
      <w:kern w:val="36"/>
      <w:sz w:val="48"/>
      <w:szCs w:val="48"/>
      <w:lang w:val="ru-RU"/>
    </w:rPr>
  </w:style>
  <w:style w:type="paragraph" w:styleId="2">
    <w:name w:val="heading 2"/>
    <w:basedOn w:val="a"/>
    <w:link w:val="20"/>
    <w:uiPriority w:val="9"/>
    <w:qFormat/>
    <w:rsid w:val="00653037"/>
    <w:pPr>
      <w:spacing w:before="100" w:beforeAutospacing="1" w:after="100" w:afterAutospacing="1"/>
      <w:outlineLvl w:val="1"/>
    </w:pPr>
    <w:rPr>
      <w:rFonts w:ascii="Times" w:hAnsi="Times"/>
      <w:b/>
      <w:bCs/>
      <w:sz w:val="36"/>
      <w:szCs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037"/>
    <w:rPr>
      <w:rFonts w:ascii="Times" w:hAnsi="Times"/>
      <w:b/>
      <w:bCs/>
      <w:kern w:val="36"/>
      <w:sz w:val="48"/>
      <w:szCs w:val="48"/>
    </w:rPr>
  </w:style>
  <w:style w:type="character" w:customStyle="1" w:styleId="20">
    <w:name w:val="Заголовок 2 Знак"/>
    <w:basedOn w:val="a0"/>
    <w:link w:val="2"/>
    <w:uiPriority w:val="9"/>
    <w:rsid w:val="00653037"/>
    <w:rPr>
      <w:rFonts w:ascii="Times" w:hAnsi="Times"/>
      <w:b/>
      <w:bCs/>
      <w:sz w:val="36"/>
      <w:szCs w:val="36"/>
    </w:rPr>
  </w:style>
  <w:style w:type="paragraph" w:styleId="a3">
    <w:name w:val="Normal (Web)"/>
    <w:basedOn w:val="a"/>
    <w:uiPriority w:val="99"/>
    <w:unhideWhenUsed/>
    <w:rsid w:val="00653037"/>
    <w:pPr>
      <w:spacing w:before="100" w:beforeAutospacing="1" w:after="100" w:afterAutospacing="1"/>
    </w:pPr>
    <w:rPr>
      <w:rFonts w:ascii="Times" w:hAnsi="Times" w:cs="Times New Roman"/>
      <w:sz w:val="20"/>
      <w:szCs w:val="20"/>
      <w:lang w:val="ru-RU"/>
    </w:rPr>
  </w:style>
  <w:style w:type="paragraph" w:customStyle="1" w:styleId="22">
    <w:name w:val="22"/>
    <w:basedOn w:val="a"/>
    <w:rsid w:val="00653037"/>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909900">
      <w:bodyDiv w:val="1"/>
      <w:marLeft w:val="0"/>
      <w:marRight w:val="0"/>
      <w:marTop w:val="0"/>
      <w:marBottom w:val="0"/>
      <w:divBdr>
        <w:top w:val="none" w:sz="0" w:space="0" w:color="auto"/>
        <w:left w:val="none" w:sz="0" w:space="0" w:color="auto"/>
        <w:bottom w:val="none" w:sz="0" w:space="0" w:color="auto"/>
        <w:right w:val="none" w:sz="0" w:space="0" w:color="auto"/>
      </w:divBdr>
      <w:divsChild>
        <w:div w:id="597370364">
          <w:marLeft w:val="0"/>
          <w:marRight w:val="0"/>
          <w:marTop w:val="0"/>
          <w:marBottom w:val="0"/>
          <w:divBdr>
            <w:top w:val="none" w:sz="0" w:space="0" w:color="auto"/>
            <w:left w:val="none" w:sz="0" w:space="0" w:color="auto"/>
            <w:bottom w:val="none" w:sz="0" w:space="0" w:color="auto"/>
            <w:right w:val="none" w:sz="0" w:space="0" w:color="auto"/>
          </w:divBdr>
          <w:divsChild>
            <w:div w:id="17794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1755</Words>
  <Characters>10004</Characters>
  <Application>Microsoft Macintosh Word</Application>
  <DocSecurity>0</DocSecurity>
  <Lines>83</Lines>
  <Paragraphs>23</Paragraphs>
  <ScaleCrop>false</ScaleCrop>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2016-07-15T10:15:00Z</dcterms:created>
  <dcterms:modified xsi:type="dcterms:W3CDTF">2016-07-15T10:15:00Z</dcterms:modified>
</cp:coreProperties>
</file>