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C3C" w:rsidRPr="00DD5C3C" w:rsidRDefault="00DD5C3C" w:rsidP="00DD5C3C">
      <w:pPr>
        <w:shd w:val="clear" w:color="auto" w:fill="FFFFFF"/>
        <w:outlineLvl w:val="0"/>
        <w:rPr>
          <w:rFonts w:ascii="Arial" w:eastAsia="Times New Roman" w:hAnsi="Arial" w:cs="Arial"/>
          <w:color w:val="000000"/>
          <w:kern w:val="36"/>
          <w:sz w:val="30"/>
          <w:szCs w:val="30"/>
          <w:lang w:val="ru-RU"/>
        </w:rPr>
      </w:pPr>
      <w:r w:rsidRPr="00DD5C3C">
        <w:rPr>
          <w:rFonts w:ascii="Arial" w:eastAsia="Times New Roman" w:hAnsi="Arial" w:cs="Arial"/>
          <w:color w:val="000000"/>
          <w:kern w:val="36"/>
          <w:sz w:val="30"/>
          <w:szCs w:val="30"/>
          <w:lang w:val="ru-RU"/>
        </w:rPr>
        <w:t>Отчет начальника ОМВД Ростокино</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отчетный период личным составом отдела (79ед.) осуществлялся комплекс организационных практических мероприятий, направленных на повышение результативности деятельности подразделений Отдела.</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Ежемесячно проводились мероприятия по предупреждению, недопущению и раскрытию совершенных на территории преступлений. С целью пресечения и раскрытия таких преступлений как квартирные кражи, кражи автотранспорта, кражи из автотранспорта, уличные грабежи и разбои проводились общегородские, окружные мероприятия, а также локальные операции на территории района Ростокино г. Москвы.</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По результатам данных мероприятий, были достигнуты определенные результаты работы, так за отчетный период 2015 года на территории района зарегистрировано меньше чем в 2014 году преступлений, таких как:</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квартирные кражи с 26 до 12, (- 53%);</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незаконный оборот наркотиков с 39 до 36, (- 7,7%);</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 том числе с целью сбыта с 30 до 24, (- 20%);</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умышленное причинение тяжкого вреда здоровью с 5 до 2, (- 60 %).</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Произошло значительное снижение на 30% зарегистрированных преступлений по категории - тяжкие с 108 до 75 (- 33).</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С положительной стороны следует отметить увеличение раскрываемости превентивных составов преступлений на 17,6%.</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отчетный период в суд направлено больше уголовных дел:</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совершенные разбойные нападения на 200%, (с 1 до 3);</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совершенные грабежи на 100%, (с 2 до 4);</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причинение тяжкого вреда здоровью на 100%, (с 1 до 2);</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Вместе с тем на ряду с положительными результатами работы, в прошлом году имелось и не мало проблем и недостатков в служебной деятельности подразделения.</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lastRenderedPageBreak/>
        <w:t>По основным направлениям противодействия преступности на территории Отдела имеется незначительное увеличение общего количества зарегистрированных преступлений на 1,7% с 361 до 367 (на 6</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преступлений) в том числе:</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особо тяжкие остались на прежнем уровне 21 (21);</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средней тяжести увеличение на 29,9 % + 28 (с 87 до 113);</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небольшой тяжести увеличение на 6,9 % + 10 с (145 до 155);</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 общественных местах увеличение на 21,7% + 45 с (207 до 252);</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на улице увеличение на 8,8% +13 с (148 до 161);</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Из изложенного видно, что на ряду с незначительным увеличением общего количества зарегистрированных преступлений (кроме тяжких), произошло снижение уровня раскрываемости преступлений общеуголовной направленности с 28,3 до 24,9% (УВД 25, 65%).</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Так низкая нагрузка в Отделе составляет по раскрытию тяжких и особо тяжких преступлений (27,9%; округ 31,23%); тяжких и особо тяжких преступлений общеуголовной направленности (23,08%; округ 27,51%);</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По категориям преступлений раскрываемость составила: по разбоям (42,86; округ 57,84%); грабежам (23,53%, округ 34,93%), кражам (11,56%; округ 15,22%), кражам из квартир (11,76%; округ 14,69%), кражам транспортных средств (0%; округ 5,26%), неправомерному завладению автотранспортными средствами (50%; округ 35,05%), мошенничествам (18,52%; округ 7,51%), незаконный оборот наркотиков (54,17%; округ 49,86%).</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На том же уровне и больше зарегистрировано преступлений:</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разбоев с 3 до 5, + 66,7%;</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грабежей с 18 до 19, + 5,6%;</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краж с 189 до 214, +13,2%;</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неправомерное завладение автотранспортом с 1 до 5, +400%;</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поджог автотранспорта с 1 до 2, +100%;</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 удалось коренным образом изменить результаты работы по направлению уголовных дел в суд. Процент раскрываемости по законченным уголовным делам составляет 24,87% - 12 место среди подразделений УВД. Количество направленных в суд уголовных дел по сравнению с прошлым годом сократилось на 7,2 % с 97 до 90, из них в суд направлено:</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краж меньше на 11% (с 27 до 24);</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квартирных краж меньше на 33,3% (с 3 до 2);</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меньше направлено краж транспортных средств на 75 %, (с 4 до 1);</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на уровне прошлого года направлено, уголовных дел за неправомерное завладение автотранспортом 2, ( 2);</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преступлений связанных с незаконным оборотом наркотиков направлено меньше на 6,3%, (с 16 до 15).</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Всего в производстве Следственного отдела и отделения дознания находилось 442 уголовных дела на 5,5% больше ( + 23) прошлого года, по ст. 208 п. 1-3 УПК РФ в 2015 году было приостановлено 271 уголовное дело на 10,2 % больше (+ 25) прошлого года.</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Уголовным розыском в текущем году раскрыто 22 преступления на 3 преступления больше по сравнению с прошлым годом 19, нагрузка на 1 оперуполномоченного составила 4,4, по сравнение с прошлым годом 3,8 (УВД - 3,6), место - 14.</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Участковыми уполномоченными полиции в текущем году раскрыто 32 преступления, как и в прошлом 32, нагрузка на 1 участкового уполномоченного полиции составила 3,6 по сравнение с прошлым годом 4,0 (УВД 4,2), место - 8.</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Патрульно-постовой службой полиции в текущем году раскрыто 7 преступлений это на 6 преступлений меньше по сравнению с прошлым годом 13, нагрузка на 1 сотрудника составила 0,44, по сравнение с прошлым годом 0,81, (УВД - 0,8), место - 15.</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Касаясь результатов работы других подразделений Отдела, следует с положительной стороны отметить проделанную работу за прошедший период 2015 года сотрудниками ГДН как по уголовной, так и административной практике, профилактике правонарушений.</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Так за отчетный период раскрыто одно преступление, предусмотренное ст. 151.1. УК РФ (2014г. не раскрывались), в ОМВД доставлено:      за различные правонарушения н/летних 116 (85), на</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несовершеннолетних составлено 45 административных протоколов (46), в ЦВСНП было направлено 12 несовершеннолетних (4), в медицинские учреждения 20 (14), поставлено на профилактический учет: 20 н/летних лиц (17), неблагополучных родителей 12 (6), групп 1 (0).</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отчетный период несовершеннолетними на территории района преступлений совершено не было.</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 на должном уровне находилась работа Отдела по исполнению административного законодательства.</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12 месяцев 2015 года сотрудниками служб Отдела за правонарушения, предусмотренные ст. КРФ о АП в 2015 году было всего составлено 1482 административных протокола (2014 - 2360), меньше на 878 протоколов. Средняя взыскаемость штрафов составила 38,8% (2014г. 48,7%).</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Данное положение не соответствует складывающейся обстановке на территории района, ведь выявление и документирование административных правонарушений - это одна их эффективных профилактических мер.</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12 месяцев 2015 г. в дежурную часть ОМВД поступило 9257 сообщений и заявлений о происшествиях, зарегистрированных в КУСП. Доставлено в дежурную часть Отдела 4937 человека.</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Привлечено к административной ответственности 815 человек, по подозрению в совершении преступления доставлялось 45 граждан.</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 результате проведенного анализа таких видов преступлений как грабежи, разбойные нападения; кражи и угоны транспортных средств, кражи, кражи из квартир, выявлены наиболее криминогенные участки на</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территории района, а также периоды времени их совершения.</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Так наибольшее количество грабежей и разбойных нападений, совершенных на открытой местности (улиц, дворы жилых домов, промышленные зоны, лесопарки), было зафиксировано на Пр-т Мира (наиболее криминально активные зоны д. 165 - 169), ул. Бажова (наиболее криминально активные зоны д.8, д. 13/2); далее на ул. Сельскохозяйственная (наиболее криминально активные зоны д. 14/2), на ул. В. Пика (наиболее криминально активные зоны д.З), на Будайском проезде (наиболее криминально активные зоны д.1).</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Наибольшее количество квартирных краж было зафиксировано на Сельскохозяйственная (наиболее криминально активные зоны д. 16/1); далее на ул. Малахитовая (наиболее криминально активные зоны д. 16), на ул. Бажова (наиболее криминально активные зоны д.20), на ул. С. Эйзенштейна (наиболее криминально активные зоны д.2), на Проспекте Мира (наиболее криминально активные зоны д.188А), на ул. Докукина (наиболее криминально активные зоны д.9).</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Наиболее криминально активный период времени с 14:00 до 23:30.</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С учетом проведенного анализа в январе 2016 года запланированы проведения профилактических мероприятий личного состава Отдела по предупреждению, пресечению и раскрытию указанных категорий преступлений.</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Несомненно, что все результаты, показатели, рейтинги связаны с кадровым обеспечением - укомплектованностью штатов и деловыми качествами сотрудников.</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Следует отметить, что деятельность Отдела так же оценивается и по другим критериям.</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 текущем году за отчетный период сотрудниками Отдела осуществлялась охрана общественного порядка на территории района при подготовке и проведению более 35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органов власти, ОПОП, штаба НД.</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Приоритетными направлениями в деятельности ОВД района по организации взаимодействия с общественностью в жилом секторе и улицах было и остается совместное принятие мер с органами исполнительной власти, по активизации работы с общественными формированиями правоохранительной направленности.</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Так на территории района функционируют 3 ОПОП, которые оказывают конкретную помощь, прежде всего УУП, по охране общественного порядка на закрепленной территории.</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В районе действует штаб народной дружины, которая насчитывает 120 человек. С помощью народной дружины выявлено более 50 правонарушений. Основными направлениями взаимодействия народной дружины с полицией является обеспечение общественного</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За 2015 год участковые уполномоченные полиции ОУУП Отдела четырежды (ежеквартально), отчитались о проделанной работе на административных участках. Встречи проходили на дворовой территории с участием 30-40 человек, на данных встречах кроме обсуждения доклада УУП, рассматривались различные вопросы жильцов, на которые от УУП и руководителей Отдела они получили компетентные ответы.</w:t>
      </w:r>
    </w:p>
    <w:p w:rsidR="00DD5C3C" w:rsidRPr="00DD5C3C" w:rsidRDefault="00DD5C3C" w:rsidP="00DD5C3C">
      <w:pPr>
        <w:shd w:val="clear" w:color="auto" w:fill="FFFFFF"/>
        <w:spacing w:before="150" w:after="150" w:line="408" w:lineRule="atLeast"/>
        <w:rPr>
          <w:rFonts w:ascii="Arial" w:hAnsi="Arial" w:cs="Arial"/>
          <w:color w:val="000000"/>
          <w:lang w:val="ru-RU"/>
        </w:rPr>
      </w:pPr>
      <w:r w:rsidRPr="00DD5C3C">
        <w:rPr>
          <w:rFonts w:ascii="Arial" w:hAnsi="Arial" w:cs="Arial"/>
          <w:color w:val="000000"/>
          <w:lang w:val="ru-RU"/>
        </w:rPr>
        <w:t>по району Ростокино г. Москвы майор полиции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3C"/>
    <w:rsid w:val="009C473A"/>
    <w:rsid w:val="00DD5C3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D5C3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5C3C"/>
    <w:rPr>
      <w:rFonts w:ascii="Times" w:hAnsi="Times"/>
      <w:b/>
      <w:bCs/>
      <w:kern w:val="36"/>
      <w:sz w:val="48"/>
      <w:szCs w:val="48"/>
    </w:rPr>
  </w:style>
  <w:style w:type="paragraph" w:styleId="a3">
    <w:name w:val="Normal (Web)"/>
    <w:basedOn w:val="a"/>
    <w:uiPriority w:val="99"/>
    <w:unhideWhenUsed/>
    <w:rsid w:val="00DD5C3C"/>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DD5C3C"/>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5C3C"/>
    <w:rPr>
      <w:rFonts w:ascii="Times" w:hAnsi="Times"/>
      <w:b/>
      <w:bCs/>
      <w:kern w:val="36"/>
      <w:sz w:val="48"/>
      <w:szCs w:val="48"/>
    </w:rPr>
  </w:style>
  <w:style w:type="paragraph" w:styleId="a3">
    <w:name w:val="Normal (Web)"/>
    <w:basedOn w:val="a"/>
    <w:uiPriority w:val="99"/>
    <w:unhideWhenUsed/>
    <w:rsid w:val="00DD5C3C"/>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39417">
      <w:bodyDiv w:val="1"/>
      <w:marLeft w:val="0"/>
      <w:marRight w:val="0"/>
      <w:marTop w:val="0"/>
      <w:marBottom w:val="0"/>
      <w:divBdr>
        <w:top w:val="none" w:sz="0" w:space="0" w:color="auto"/>
        <w:left w:val="none" w:sz="0" w:space="0" w:color="auto"/>
        <w:bottom w:val="none" w:sz="0" w:space="0" w:color="auto"/>
        <w:right w:val="none" w:sz="0" w:space="0" w:color="auto"/>
      </w:divBdr>
      <w:divsChild>
        <w:div w:id="544875230">
          <w:marLeft w:val="0"/>
          <w:marRight w:val="0"/>
          <w:marTop w:val="0"/>
          <w:marBottom w:val="0"/>
          <w:divBdr>
            <w:top w:val="none" w:sz="0" w:space="0" w:color="auto"/>
            <w:left w:val="none" w:sz="0" w:space="0" w:color="auto"/>
            <w:bottom w:val="none" w:sz="0" w:space="0" w:color="auto"/>
            <w:right w:val="none" w:sz="0" w:space="0" w:color="auto"/>
          </w:divBdr>
          <w:divsChild>
            <w:div w:id="1959558747">
              <w:marLeft w:val="0"/>
              <w:marRight w:val="0"/>
              <w:marTop w:val="0"/>
              <w:marBottom w:val="0"/>
              <w:divBdr>
                <w:top w:val="none" w:sz="0" w:space="0" w:color="auto"/>
                <w:left w:val="none" w:sz="0" w:space="0" w:color="auto"/>
                <w:bottom w:val="none" w:sz="0" w:space="0" w:color="auto"/>
                <w:right w:val="none" w:sz="0" w:space="0" w:color="auto"/>
              </w:divBdr>
              <w:divsChild>
                <w:div w:id="10074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1450</Words>
  <Characters>8265</Characters>
  <Application>Microsoft Macintosh Word</Application>
  <DocSecurity>0</DocSecurity>
  <Lines>68</Lines>
  <Paragraphs>19</Paragraphs>
  <ScaleCrop>false</ScaleCrop>
  <Company/>
  <LinksUpToDate>false</LinksUpToDate>
  <CharactersWithSpaces>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2016-07-15T10:17:00Z</dcterms:created>
  <dcterms:modified xsi:type="dcterms:W3CDTF">2016-07-15T10:17:00Z</dcterms:modified>
</cp:coreProperties>
</file>