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056" w:rsidRPr="003E5056" w:rsidRDefault="003E5056" w:rsidP="003E5056">
      <w:pPr>
        <w:shd w:val="clear" w:color="auto" w:fill="FFFFFF"/>
        <w:outlineLvl w:val="0"/>
        <w:rPr>
          <w:rFonts w:ascii="Arial" w:eastAsia="Times New Roman" w:hAnsi="Arial" w:cs="Arial"/>
          <w:color w:val="000000"/>
          <w:kern w:val="36"/>
          <w:sz w:val="30"/>
          <w:szCs w:val="30"/>
          <w:lang w:val="ru-RU"/>
        </w:rPr>
      </w:pPr>
      <w:r w:rsidRPr="003E5056">
        <w:rPr>
          <w:rFonts w:ascii="Arial" w:eastAsia="Times New Roman" w:hAnsi="Arial" w:cs="Arial"/>
          <w:color w:val="000000"/>
          <w:kern w:val="36"/>
          <w:sz w:val="30"/>
          <w:szCs w:val="30"/>
          <w:lang w:val="ru-RU"/>
        </w:rPr>
        <w:t>Информационно-аналитическая записка</w:t>
      </w:r>
    </w:p>
    <w:p w:rsidR="003E5056" w:rsidRPr="003E5056" w:rsidRDefault="003E5056" w:rsidP="003E5056">
      <w:pPr>
        <w:shd w:val="clear" w:color="auto" w:fill="FFFFFF"/>
        <w:spacing w:before="150" w:after="150" w:line="408" w:lineRule="atLeast"/>
        <w:jc w:val="center"/>
        <w:rPr>
          <w:rFonts w:ascii="Arial" w:hAnsi="Arial" w:cs="Arial"/>
          <w:color w:val="000000"/>
          <w:lang w:val="ru-RU"/>
        </w:rPr>
      </w:pPr>
      <w:r w:rsidRPr="003E5056">
        <w:rPr>
          <w:rFonts w:ascii="Arial" w:hAnsi="Arial" w:cs="Arial"/>
          <w:b/>
          <w:bCs/>
          <w:color w:val="000000"/>
          <w:lang w:val="ru-RU"/>
        </w:rPr>
        <w:t>АНАЛИТИЧЕСКАЯ ЗАПИСКА</w:t>
      </w:r>
    </w:p>
    <w:p w:rsidR="003E5056" w:rsidRPr="003E5056" w:rsidRDefault="003E5056" w:rsidP="003E5056">
      <w:pPr>
        <w:shd w:val="clear" w:color="auto" w:fill="FFFFFF"/>
        <w:spacing w:before="150" w:after="150" w:line="408" w:lineRule="atLeast"/>
        <w:jc w:val="center"/>
        <w:rPr>
          <w:rFonts w:ascii="Arial" w:hAnsi="Arial" w:cs="Arial"/>
          <w:color w:val="000000"/>
          <w:lang w:val="ru-RU"/>
        </w:rPr>
      </w:pPr>
      <w:r w:rsidRPr="003E5056">
        <w:rPr>
          <w:rFonts w:ascii="Arial" w:hAnsi="Arial" w:cs="Arial"/>
          <w:color w:val="000000"/>
          <w:lang w:val="ru-RU"/>
        </w:rPr>
        <w:t>оперативно-служебной деятельности Отдела МВД России</w:t>
      </w:r>
    </w:p>
    <w:p w:rsidR="003E5056" w:rsidRPr="003E5056" w:rsidRDefault="003E5056" w:rsidP="003E5056">
      <w:pPr>
        <w:shd w:val="clear" w:color="auto" w:fill="FFFFFF"/>
        <w:spacing w:before="150" w:after="150" w:line="408" w:lineRule="atLeast"/>
        <w:jc w:val="center"/>
        <w:rPr>
          <w:rFonts w:ascii="Arial" w:hAnsi="Arial" w:cs="Arial"/>
          <w:color w:val="000000"/>
          <w:lang w:val="ru-RU"/>
        </w:rPr>
      </w:pPr>
      <w:r w:rsidRPr="003E5056">
        <w:rPr>
          <w:rFonts w:ascii="Arial" w:hAnsi="Arial" w:cs="Arial"/>
          <w:color w:val="000000"/>
          <w:lang w:val="ru-RU"/>
        </w:rPr>
        <w:t>по Бутырскому району г. Москвы за 12 месяцев 2015 года.</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Деятельность Отдела МВД России по Бутырскому району г. Москвы строилась в соответствии с Директивой Министерства внутренних дел РФ «О приоритетных направлениях деятельности органов внутренних дел Российской Федерации и внутренних войск МВД России в 2015 году» № 2дсп от 12 декабря 2014 года,  соблюдением Детального плана-графика по исполнению Плана деятельности МВД России по реализации указов Президента российской Федерации от 7 мая 2012 года на 2013 год и плановый период  2014-2018 годов.</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Личный состав нацеливался на раскрытие тяжких и особо тяжких преступлений; соблюдение дисциплины и законности; совершенствование управленческой деятельности, в особенности по соблюдению учетно-регистрационной дисциплины и предоставлению качественных государственных услуг.</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Подводя итоги оперативно-служебной деятельности за 12 месяцев 2015 года можно отметить, что результаты работы Отдела свидетельствуют о том, что комплекс принимаемых мер не позволил в целом обеспечить контроль за стабильностью криминальной обстановки в районе.</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Сначала остановимся на общих данных о состоянии криминогенной обстановки на территории района.</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В отчетном периоде на территории обслуживания Отдела МВД России по Бутырскому району г. Москвы зарегистрировано 18870 заявлений и сообщений о преступлениях, об административных правонарушениях, о происшествиях, по результатам, рассмотрения которых возбуждено 820 уголовных дела и вынесено 5166 постановления об отказе в возбуждении уголовного дела. Количество зарегистрированных преступлений общеуголовной направленности увеличилось на 4,9 % (с 895 до 939, увеличилось на 44; по округу увеличилось на 3,2 %, по городу увеличилось на 6,8%).</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lastRenderedPageBreak/>
        <w:t>На 8,2 % уменьшилось количество зарегистрированных тяжких и особо тяжких преступлений (с 231 до 212, уменьшилось на 19; по округу снизилось на 13,8 %, по городу уменьшилось на 3,1 %).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Удельный вес тяжких и особо тяжких преступлений, от общего числа зарегистрированных составил 25,3 % (по округу 26,1 %).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Рост общего количества совершенных преступных деяний произошел за счет увеличения числа зарегистрированных:</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краж на 7,9 % (с 491 до 530, увеличилось на 39; по округу увеличилось на 11,3 %; по городу увеличилось на 10,7 %), лиц установлено 66 (52), в том числе квартирных краж на 9,7 % (с 31 до 34, увеличилось на 3; по округу снизилось на 6,1 %; по городу снизилось на 9,5 %), лиц установлено 1 (6);</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убийств на 100,0 % (с 1 до 5, увеличилось на 4; по округу увеличилось на 5,6 %; по городу снизилось на 6,9%), лиц установлено 5 (0);</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умышленных причинений тяжкого вреда здоровью на 25,0 % (с 4 до 5, увеличилось на 1; по округу снизилось на 24,1 %; по городу снизилось на 9 %) лиц установлено 1 (1);</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грабежей на 18,5 % (с 65 до 77, увеличилось на 12; по округу снизилось на 3,6 %, по городу снизилось на 2,3%), лиц установлено 16 (17);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разбоев на 15,4 % (с 13 до 15, увеличилось на 2; по округу увеличилось на 5,6 %, по городу снизилось на 3,0 %), лиц установлено 8 (6).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Особое беспокойство вызывают квартирные кражи. Проблема предупреждения и раскрытия хищений имущества граждан, сопряженных с проникновением в жилища, продолжает оставаться одной из наиболее острых. За отчетный период 12 месяцев 2015 года на территории Бутырского района г. Москвы было совершено 32 квартирные кражи:  из них 5 подбором ключа, которые произошли по адресам: г. Москва, ул.Гончарова, д.13, кв.60;  г. Москва,  ул. Милашенкова, д.10А, кв.75;              г. Москва. ул. Яблочкова, д.36, кв. 75; г. Москва, ул. Гончарова, д. 8/13, кв. 16; г. Москва. ул. Яблочкова, д.36, корп. 1, кв. 74.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Зарегистрировано 7 случаев  квартирных краж, путём повреждения дверного замка по следующим адресам: г. Москва, ул. Милашенкова, д.12Б; г. Москва, ул. Руставели, д.1/2,         кв. 141; г. Москва,  ул. Руставели, д.1/2, кв. 35; г. Москва, ул. Милашенкова, д 7, корп.3, кв. 36; г. Москва, ул. Фонвизина, д.9 корп.1, кв.33;  кв. 34, кв. 35,  все три случая произошли на одном этаже и зафиксированы в один день 03.04.2015 года, предположительно совершил кражу одно и то же лицо, были сделаны скриншоты предполагаемого преступника.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Зарегистрировано 19 квартирных краж совершеныпутем повреждения окна и отжатия оконной рамы.</w:t>
      </w:r>
      <w:r w:rsidRPr="003E5056">
        <w:rPr>
          <w:rFonts w:ascii="Arial" w:hAnsi="Arial" w:cs="Arial"/>
          <w:b/>
          <w:bCs/>
          <w:color w:val="000000"/>
          <w:lang w:val="ru-RU"/>
        </w:rPr>
        <w:t>  </w:t>
      </w:r>
      <w:r w:rsidRPr="003E5056">
        <w:rPr>
          <w:rFonts w:ascii="Arial" w:hAnsi="Arial" w:cs="Arial"/>
          <w:color w:val="000000"/>
          <w:lang w:val="ru-RU"/>
        </w:rPr>
        <w:t>По данному способу, кражи совершались  в основном на первых и вторых этажах.</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Предметом посягательства у преступников во многих случаях являются предметы малых габаритов такие как: ювелирные украшения, денежные средства, ноутбуки / планшеты, а так же личные вещи шубы и кожаные куртки.</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К сожалению, раскрываемость квартирных краж невысока, поэтому одна из основных задач - предотвратить совершение данного преступления, профилактика квартирных краж. Участковыми уполномоченными полиции проводится информирование жителей района о способах и видах совершаемых преступлений, о мерах направленных на повышение охранно-защитных функций своих жилищ, отрабатываются лица, ранее судимые за аналогичные преступления, проживающие на территории обслуживания.</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В настоящее время оперуполномоченными Отдела, с целью получения оперативно значимой информации, подготавливается спец.аппарат из категории лиц ранее судимых за аналогичные преступления.</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Анализ совершенных грабежей и разбойных нападений свидетельствует, что наибольшее количество совершается в общественных местах и на улице. Наиболее распространенным способом совершения преступлений  является нанесение ударов потерпевшим и рывок. Грабежи и разбои совершаются внезапно для потерпевшего, в большинстве случаев в темное время суток или в уединенных местах.</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При совершении грабежей и разбойных нападений основными предметами преступного посягательства являются деньги, ювелирные изделия, носильные вещи. В последнее время все чаще предметами посягательств являются мобильные телефоны. Кроме того, на выбор похищаемого зачастую оказывает влияние не только номинальная цена изделия, но и возможность сбыта.</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Потерпевшими, как правило, являются женщины и лица, находящиеся в состоянии алкогольного опьянения, т.е. та категория граждан, которая не сможет оказать действенного сопротивления.</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Основной причиной, препятствующей раскрытию преступлений, в том числе по «горячим следам», является несвоевременное обращение граждан в ОМВД.</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С целью снижения количества совершаемых квартирных краж, разбоев, грабежей осуществляется отработка территории, с целью выявления мест сбыта имущества, добытого преступным путем, а именно ломбарды, комиссионные скупки, места скопления лиц без определенного места жительства, анализируются аналогичные преступления на территории других районов г. Москвы.</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Значительное влияние на состояние оперативной обстановки оказывают преступления, связанные с незаконным оборотом наркотических средств.</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На территории района за 2015 года произошло значительное увеличение зарегистрированных преступлений данной категории на 35,7 %, (с 56 до 76, увеличилось на 20; по округу снизилось на 24,0 %; по городу снизилось на 5,5 %) лиц установлено 23 (19),   из них сбыт наркотических средств вырос на 6,7 % (с 45 до 48, увеличилось на 3; по округу снизилось на 30,5 %; по городу снизилось на 7,2 %) лиц установлено 6 (9);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Необходимо отметить, что при выявлении преступлений, связанных с незаконным оборотом наркотических средств, сотрудниками уголовного розыска, в обязательном порядке прорабатываются версии и проводятся мероприятия, направленные на выявление и раскрытие фактов сбыта наркотических средств. Сотрудниками ОУР ведется работа со спец. аппаратом, которые состоят на связи и ориентированы на получение оперативно-значимой информации.</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Кроме того, увеличилось количество преступлений, совершенных на улицах и в общественных местах:</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в общественных местах на 44,9 % (с 494 до 716, увеличилось на 222; по округу увеличилось на 4,0 %, по городу увеличилось на 14,5 %);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на улицах на 10,6 % (с 359 до 397, увеличилось на 38; по округу снизилось на 5,0 %; по городу также снизилось на 3,8 %).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Нами принимались  меры   профилактического  характера  на  улицах и  в</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общественных местах, дополнительно выставлялись патрули, проводились отработки административных участков с наиболее криминогенной обстановкой.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Наибольшее число преступлений совершается во вторник, среду, пятницу и субботу. Наиболее криминальным временем является период с 12.00 - 24.00ч. На основе проведенного анализа руководством ОМВД проводится передислокация нарядов согласно плана комплексного использования сил и средств ОМВД на более криминогенные участки.</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Проведенной работой удалось значительно снизить количество совершаемых преступлений, связанных:</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с кражами транспортных средств на 45,8 % (с 48 до 26, снижение на 22 преступления; по округу снизилось на 14,3 %, по городу на 13,7%), лиц установлено 3 (6);</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с угонами на 42,9 % (с 7 до 4, снижение на 3; по округу снизилось на 15,4 %; по городу снизилось на 8,2 %), лиц установлено 4 (4);</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с мошенничеством на 32,1 % (со 159 до 108, снижение на 51; по округу увеличилось на 12,3 %; по городу увеличилось на 7,7 %), лиц установлено 11 (6).</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На территории Отдела МВД России по Бутырскому району г. Москвы зарегистрировано 23 хищений автотранспорта,  в том числе 5 угонов автотранспорта.</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Проведенным анализом было установлено, что наибольшее количество хищения автотранспорта приходится в ночное время – 15, в дневное – 3, в вечернее время – 3, утреннее – 2.</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Большинство автомашин были похищены в будние дни. Можно предположить, что это связано с тем, что в будние дни большой поток автотранспорта и   похищенному автомобилю легче скрыться среди других автомобилей, так же меньшая вероятность быть остановленным сотрудником ДПС и меньшая вероятность вычислить автомобиль сопровождения.</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Установлено, что большую часть похищенных автомобилей являются марками японского или корейского производства.</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Автотранспорт в рассматриваемый период времени похищался со следующих улиц:</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ул. Добролюбова  (2)</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ул. Яблочкова  (5)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ул. Б. Новодмитровская (2)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ул. Бутырская (2)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ул. Милашенкова (3)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ул.Фонвизина (3)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ул. Гончарова (5)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ул. Савеловская линия (1).</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Исходя из проведенного анализа, следует, что наиболее подвержены хищению автомашины приближенные к улицам, имеющих выезд на крупные шоссе в данном случае это Алтуфьевское шоссе и Дмитровское шоссе.</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Необходимо отметить, что похищенный автотранспорт перегоняют в места отстоя, а именно во дворы жилых домов вблизи МКАД, с целью последующего перегона в другие регионы РФ или в гаражные боксы автостоянок.</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Анализ результатов работы по противодействию преступности показывает что, несмотря на принимаемые меры, нам не удалось достичь положительной динамики в раскрытии преступлений. Раскрываемость составила 18,7 % (по округу  25.6 %, по городу 27,4 %).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Имеющиеся проблемы и недоработки нам понятны, это снижение раскрываемости преступлений, таких как:</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грабежи - раскрываемость составила 21,5 % (27,6 %) (по округу 34,9%; по городу 31,7 %);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квартирные кражи -  раскрываемость составила 3,2% (14,7 %) (по округу 19,1%; по городу 17,4 %);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кражи транспортных средств -  раскрываемость составила 9,7% (10,5 %) (по округу 5,3%; по городу 6,9 %);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умышленное причинение тяжкого вреда здоровью -  раскрываемость составила 66,7 % (80,0 %) (по округу 64,9 %; по городу 63,0 %);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разбои -  раскрываемость составила 37,5 % (57,8 %) (по округу 62,5 %; по городу 52,2 %).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Несмотря на имеющиеся недостатки в работе, в отчетном периоде нам удалось добиться положительной динамики по раскрытию преступлений. Увеличилось число раскрытых:</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тяжких преступлений - раскрываемость составила 23,4 % (19,2 %) (по округу 32,0 %; по городу 35,3 %), особо тяжких преступлений - раскрываемость составила 39,0 % (29,6 %) (по округу 28,3 %; по городу 26,8 %); преступлений, связанных с кражами - раскрываемость составила 11,5 % (10,6 %) (по округу 15,2 %; по городу 15,2 %); угонами - раскрываемость составила 71,4 % (25,0 %) (по округу 36,1 %; по городу 36,4 %); незаконным оборотом наркотиков - раскрываемость составила 44,9 % (29,1 %) (по округу 43,5 %; по городу 42,2 %), в т.ч. с целью сбыта - раскрываемость составила 22,9 % (17,8 %) (по округу 18,0 %; по городу 17,1 %); мошенничество общеуголовной направленности - раскрываемость составила 6,0 % (3,8 %) (по округу 7,5 %; по городу 24,1 %).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Результаты работы подразделений Отдела:</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Не удалось добиться положительных результатов в работе сотрудникам отдельного взвода ППСП Отдела. На маршрутах патрулирования совершено 77 грабежей, 26 краж транспортного средства. Сотрудниками ППСП раскрыто 14 преступлений (19), нагрузка на одного сотрудника ППСП по раскрытию преступлений составила 0,40 (по УВД 0,8), 16 место по округу. С отрицательной стороны можно отметить работу по выявлению преступлений Майорова Сергея Васильевича который практически не принимал участия в раскрытии преступлений. Более подробно о результатах работы  ОВ ППСП доложит командир взвода ППСП Измайлов Марат Няимович.</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Работу участковых уполномоченных полиции Отдела  можно признать недостаточно эффективной. Службой участковых уполномоченных полиции  раскрыто 61 (69) преступление нагрузка на одного участкового составила 3,6 (по УВД 4,2), 8 место по округу.</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«Количество предварительно расследованных преступлений предусмотренных статьями 112, 115, 116, 117, 150, 151, 156 ч.ч. 1,2, ст.ст. 213, 232, 241 УК РФ в расчете на 100 единиц штатной численности подразделений полиции и следствия» согласно критериев оценки деятельности, утвержденных приказом МВД России № 1040-213 года оценена отрицательно.  В отчетном периоде текущего года было выявлено всего 7 (6) превентивных составов преступлений.</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Низкие результаты работы имеют участковые уполномоченные Кривцов Сергей Александрович, Павлов Андрей Анатольевич, Кроповницкий Игорь Николаевич, Пронькин Юрий Александрович. О результатах работы участковых уполномоченных доложит начальник УУП Виденькин Евгений Александрович.</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С положительной стороны хотелось бы отметить работу таких подразделений Отдела как уголовный розыск, следствие, дознание, отделение по делам несовершеннолетних.</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Уголовным розыском раскрыто 57 (49) это 4 место по округу преступлений нагрузка на одного оперуполномоченного составила 7,1 (по УВД 3,6). Сотрудниками уголовного розыска раскрыты серия мошенничеств связанных с арендой жилья, установлены эпизоды преступной деятельности как на территории СВАО, так и на территории города Москвы, были задержаны грабители совершивших серию грабежей на территории Бутырского района, также сотрудниками УР была задержана преступная группа занимающиеся  кражами барсеточного варианта.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Отделением по делам несовершеннолетних Отдела  раскрыто 3 (2) преступления, поставлено на профилактический учет 36 несовершеннолетних и 24 (19) неблагополучных родителей, выявлено 47 фактов продажи спиртосодержащей продукции несовершеннолетним.  ОДН Отдела занимает 5 место по округу.</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В производстве дознания находилось 481 уголовное дело, из них расследовано 362 дело, 10 дел прекращено по амнистии, свыше установленных сроков УПК РФ окончено 21 уголовное дело. В суд направлено 55 уголовных дела на 67 эпизодов. Хочется отметить работу начальника дознания Ромашкиной Юлии Сергеевны (в суд направлено 20 дел на 25 эпизодов), старшего дознавателя Макаровой Анны Владимировны (в суд направлено 22 дела на 26 эпизодов).</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В производстве следствия находилось 541 уголовных дел (663), расследовано 544 (494) уголовных дел, свыше установленных сроков УПК РФ расследовано 11 (11)  уголовных дел, в суд направлено 43 уголовных дела  (32).  Наиболее высокие показатели в работе имеют следователи Шабанова Наира Шабановна (в суд направлено 14 дел на 22 эпизода), Монахова Александра Андреевича (в суд направлено 10 дел на 20 эпизода), Грибкова Владислава Владимировича (в суд направлено 13 дел на 18 эпизодов).</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Мы понимаем, что снижение темпов в работе по повышению раскрываемости преступлений оставшихся нераскрытыми, необходимо наращивать, в предстоящем периоде этому будет уделено самое пристальное внимание.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Исходя из Директивы Министерства внутренних дел РФ «О приоритетных направлениях деятельности органов внутренних дел Российской Федерации и внутренних войск МВД России в 2016 году» № 3дсп от 17 ноября 2015 года определен спектр проблем, которые нам предстоит решать в текущем году:</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обеспечение общественного правопорядка и безопасности граждан на территории Бутырского района, в том числе в период проведения культурно-массовых мероприятий, спортивных, религиозных и иных общественных мероприятий;</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снижение уровня преступности на территории обслуживания, в общественных местах и уличной преступности;</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-раскрытие и расследование тяжких и особо тяжких преступлений, укрепление оперативных позиций ОУР;</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улучшение качества профилактической работы среди жителей Бутырского района.</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Руководящий и личный состав Отдела понимает важность и необходимость поставленных задач, приложит все усилия для их выполнения.</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 </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Начальник Штаба Отдела МВД России</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по Бутырскому району г. Москвы</w:t>
      </w:r>
    </w:p>
    <w:p w:rsidR="003E5056" w:rsidRPr="003E5056" w:rsidRDefault="003E5056" w:rsidP="003E5056">
      <w:pPr>
        <w:shd w:val="clear" w:color="auto" w:fill="FFFFFF"/>
        <w:spacing w:before="150" w:after="150" w:line="408" w:lineRule="atLeast"/>
        <w:rPr>
          <w:rFonts w:ascii="Arial" w:hAnsi="Arial" w:cs="Arial"/>
          <w:color w:val="000000"/>
          <w:lang w:val="ru-RU"/>
        </w:rPr>
      </w:pPr>
      <w:r w:rsidRPr="003E5056">
        <w:rPr>
          <w:rFonts w:ascii="Arial" w:hAnsi="Arial" w:cs="Arial"/>
          <w:color w:val="000000"/>
          <w:lang w:val="ru-RU"/>
        </w:rPr>
        <w:t>подполковник внутренней службы                                                       Г.Б. Назарова</w:t>
      </w:r>
    </w:p>
    <w:p w:rsidR="003E5056" w:rsidRPr="003E5056" w:rsidRDefault="003E5056" w:rsidP="003E5056">
      <w:pPr>
        <w:shd w:val="clear" w:color="auto" w:fill="FFFFFF"/>
        <w:spacing w:line="336" w:lineRule="atLeast"/>
        <w:rPr>
          <w:rFonts w:ascii="Arial" w:eastAsia="Times New Roman" w:hAnsi="Arial" w:cs="Arial"/>
          <w:color w:val="000000"/>
          <w:lang w:val="ru-RU"/>
        </w:rPr>
      </w:pP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056"/>
    <w:rsid w:val="003E5056"/>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3E5056"/>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5056"/>
    <w:rPr>
      <w:rFonts w:ascii="Times" w:hAnsi="Times"/>
      <w:b/>
      <w:bCs/>
      <w:kern w:val="36"/>
      <w:sz w:val="48"/>
      <w:szCs w:val="48"/>
    </w:rPr>
  </w:style>
  <w:style w:type="paragraph" w:styleId="a3">
    <w:name w:val="Normal (Web)"/>
    <w:basedOn w:val="a"/>
    <w:uiPriority w:val="99"/>
    <w:unhideWhenUsed/>
    <w:rsid w:val="003E5056"/>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3E5056"/>
    <w:rPr>
      <w:b/>
      <w:bCs/>
    </w:rPr>
  </w:style>
  <w:style w:type="character" w:customStyle="1" w:styleId="apple-converted-space">
    <w:name w:val="apple-converted-space"/>
    <w:basedOn w:val="a0"/>
    <w:rsid w:val="003E5056"/>
  </w:style>
  <w:style w:type="paragraph" w:customStyle="1" w:styleId="21">
    <w:name w:val="21"/>
    <w:basedOn w:val="a"/>
    <w:rsid w:val="003E5056"/>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3E5056"/>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5056"/>
    <w:rPr>
      <w:rFonts w:ascii="Times" w:hAnsi="Times"/>
      <w:b/>
      <w:bCs/>
      <w:kern w:val="36"/>
      <w:sz w:val="48"/>
      <w:szCs w:val="48"/>
    </w:rPr>
  </w:style>
  <w:style w:type="paragraph" w:styleId="a3">
    <w:name w:val="Normal (Web)"/>
    <w:basedOn w:val="a"/>
    <w:uiPriority w:val="99"/>
    <w:unhideWhenUsed/>
    <w:rsid w:val="003E5056"/>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3E5056"/>
    <w:rPr>
      <w:b/>
      <w:bCs/>
    </w:rPr>
  </w:style>
  <w:style w:type="character" w:customStyle="1" w:styleId="apple-converted-space">
    <w:name w:val="apple-converted-space"/>
    <w:basedOn w:val="a0"/>
    <w:rsid w:val="003E5056"/>
  </w:style>
  <w:style w:type="paragraph" w:customStyle="1" w:styleId="21">
    <w:name w:val="21"/>
    <w:basedOn w:val="a"/>
    <w:rsid w:val="003E5056"/>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780019">
      <w:bodyDiv w:val="1"/>
      <w:marLeft w:val="0"/>
      <w:marRight w:val="0"/>
      <w:marTop w:val="0"/>
      <w:marBottom w:val="0"/>
      <w:divBdr>
        <w:top w:val="none" w:sz="0" w:space="0" w:color="auto"/>
        <w:left w:val="none" w:sz="0" w:space="0" w:color="auto"/>
        <w:bottom w:val="none" w:sz="0" w:space="0" w:color="auto"/>
        <w:right w:val="none" w:sz="0" w:space="0" w:color="auto"/>
      </w:divBdr>
      <w:divsChild>
        <w:div w:id="406651918">
          <w:marLeft w:val="0"/>
          <w:marRight w:val="0"/>
          <w:marTop w:val="0"/>
          <w:marBottom w:val="0"/>
          <w:divBdr>
            <w:top w:val="none" w:sz="0" w:space="0" w:color="auto"/>
            <w:left w:val="none" w:sz="0" w:space="0" w:color="auto"/>
            <w:bottom w:val="none" w:sz="0" w:space="0" w:color="auto"/>
            <w:right w:val="none" w:sz="0" w:space="0" w:color="auto"/>
          </w:divBdr>
          <w:divsChild>
            <w:div w:id="194925634">
              <w:marLeft w:val="0"/>
              <w:marRight w:val="0"/>
              <w:marTop w:val="0"/>
              <w:marBottom w:val="0"/>
              <w:divBdr>
                <w:top w:val="none" w:sz="0" w:space="0" w:color="auto"/>
                <w:left w:val="none" w:sz="0" w:space="0" w:color="auto"/>
                <w:bottom w:val="none" w:sz="0" w:space="0" w:color="auto"/>
                <w:right w:val="none" w:sz="0" w:space="0" w:color="auto"/>
              </w:divBdr>
              <w:divsChild>
                <w:div w:id="2066023087">
                  <w:marLeft w:val="0"/>
                  <w:marRight w:val="0"/>
                  <w:marTop w:val="0"/>
                  <w:marBottom w:val="0"/>
                  <w:divBdr>
                    <w:top w:val="none" w:sz="0" w:space="0" w:color="auto"/>
                    <w:left w:val="none" w:sz="0" w:space="0" w:color="auto"/>
                    <w:bottom w:val="none" w:sz="0" w:space="0" w:color="auto"/>
                    <w:right w:val="none" w:sz="0" w:space="0" w:color="auto"/>
                  </w:divBdr>
                  <w:divsChild>
                    <w:div w:id="281956457">
                      <w:marLeft w:val="0"/>
                      <w:marRight w:val="0"/>
                      <w:marTop w:val="0"/>
                      <w:marBottom w:val="0"/>
                      <w:divBdr>
                        <w:top w:val="none" w:sz="0" w:space="0" w:color="auto"/>
                        <w:left w:val="none" w:sz="0" w:space="0" w:color="auto"/>
                        <w:bottom w:val="none" w:sz="0" w:space="0" w:color="auto"/>
                        <w:right w:val="none" w:sz="0" w:space="0" w:color="auto"/>
                      </w:divBdr>
                      <w:divsChild>
                        <w:div w:id="11846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629073">
          <w:marLeft w:val="0"/>
          <w:marRight w:val="0"/>
          <w:marTop w:val="0"/>
          <w:marBottom w:val="0"/>
          <w:divBdr>
            <w:top w:val="single" w:sz="6" w:space="11" w:color="DBDBDB"/>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2611</Words>
  <Characters>14889</Characters>
  <Application>Microsoft Macintosh Word</Application>
  <DocSecurity>0</DocSecurity>
  <Lines>124</Lines>
  <Paragraphs>34</Paragraphs>
  <ScaleCrop>false</ScaleCrop>
  <Company/>
  <LinksUpToDate>false</LinksUpToDate>
  <CharactersWithSpaces>17466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2016-07-15T10:04:00Z</dcterms:created>
  <dcterms:modified xsi:type="dcterms:W3CDTF">2016-07-15T10:04:00Z</dcterms:modified>
</cp:coreProperties>
</file>