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052" w:rsidRPr="00AD3052" w:rsidRDefault="00AD3052" w:rsidP="00AD3052">
      <w:pPr>
        <w:shd w:val="clear" w:color="auto" w:fill="FFFFFF"/>
        <w:outlineLvl w:val="0"/>
        <w:rPr>
          <w:rFonts w:ascii="Arial" w:eastAsia="Times New Roman" w:hAnsi="Arial" w:cs="Arial"/>
          <w:color w:val="000000"/>
          <w:kern w:val="36"/>
          <w:sz w:val="30"/>
          <w:szCs w:val="30"/>
          <w:lang w:val="ru-RU"/>
        </w:rPr>
      </w:pPr>
      <w:bookmarkStart w:id="0" w:name="_GoBack"/>
      <w:bookmarkEnd w:id="0"/>
      <w:r w:rsidRPr="00AD3052">
        <w:rPr>
          <w:rFonts w:ascii="Arial" w:eastAsia="Times New Roman" w:hAnsi="Arial" w:cs="Arial"/>
          <w:color w:val="000000"/>
          <w:kern w:val="36"/>
          <w:sz w:val="30"/>
          <w:szCs w:val="30"/>
          <w:lang w:val="ru-RU"/>
        </w:rPr>
        <w:t>Информационно-аналитическая записка</w:t>
      </w:r>
    </w:p>
    <w:p w:rsidR="00AD3052" w:rsidRPr="00AD3052" w:rsidRDefault="00AD3052" w:rsidP="00AD3052">
      <w:pPr>
        <w:shd w:val="clear" w:color="auto" w:fill="FFFFFF"/>
        <w:spacing w:before="150" w:after="150" w:line="408" w:lineRule="atLeast"/>
        <w:jc w:val="center"/>
        <w:rPr>
          <w:rFonts w:ascii="Arial" w:hAnsi="Arial" w:cs="Arial"/>
          <w:color w:val="000000"/>
          <w:lang w:val="ru-RU"/>
        </w:rPr>
      </w:pPr>
      <w:r w:rsidRPr="00AD3052">
        <w:rPr>
          <w:rFonts w:ascii="Arial" w:hAnsi="Arial" w:cs="Arial"/>
          <w:b/>
          <w:bCs/>
          <w:color w:val="000000"/>
          <w:lang w:val="ru-RU"/>
        </w:rPr>
        <w:t>Информационно-аналитическая записка</w:t>
      </w:r>
    </w:p>
    <w:p w:rsidR="00AD3052" w:rsidRPr="00AD3052" w:rsidRDefault="00AD3052" w:rsidP="00AD3052">
      <w:pPr>
        <w:shd w:val="clear" w:color="auto" w:fill="FFFFFF"/>
        <w:spacing w:before="150" w:after="150" w:line="408" w:lineRule="atLeast"/>
        <w:jc w:val="center"/>
        <w:rPr>
          <w:rFonts w:ascii="Arial" w:hAnsi="Arial" w:cs="Arial"/>
          <w:color w:val="000000"/>
          <w:lang w:val="ru-RU"/>
        </w:rPr>
      </w:pPr>
      <w:r w:rsidRPr="00AD3052">
        <w:rPr>
          <w:rFonts w:ascii="Arial" w:hAnsi="Arial" w:cs="Arial"/>
          <w:b/>
          <w:bCs/>
          <w:color w:val="000000"/>
          <w:lang w:val="ru-RU"/>
        </w:rPr>
        <w:t>о результатах деятельности ОМВД России по району Марфино г. Москвы за 12 месяцев 2015 г.</w:t>
      </w:r>
    </w:p>
    <w:p w:rsidR="00AD3052" w:rsidRPr="00AD3052" w:rsidRDefault="00AD3052" w:rsidP="00AD3052">
      <w:pPr>
        <w:shd w:val="clear" w:color="auto" w:fill="FFFFFF"/>
        <w:spacing w:before="150" w:after="150" w:line="408" w:lineRule="atLeast"/>
        <w:jc w:val="center"/>
        <w:rPr>
          <w:rFonts w:ascii="Arial" w:hAnsi="Arial" w:cs="Arial"/>
          <w:color w:val="000000"/>
          <w:lang w:val="ru-RU"/>
        </w:rPr>
      </w:pPr>
      <w:r w:rsidRPr="00AD3052">
        <w:rPr>
          <w:rFonts w:ascii="Arial" w:hAnsi="Arial" w:cs="Arial"/>
          <w:b/>
          <w:bCs/>
          <w:color w:val="000000"/>
          <w:lang w:val="ru-RU"/>
        </w:rPr>
        <w:t> </w:t>
      </w:r>
    </w:p>
    <w:p w:rsidR="00AD3052" w:rsidRPr="00AD3052" w:rsidRDefault="00AD3052" w:rsidP="00AD3052">
      <w:pPr>
        <w:shd w:val="clear" w:color="auto" w:fill="FFFFFF"/>
        <w:spacing w:before="150" w:after="150" w:line="408" w:lineRule="atLeast"/>
        <w:jc w:val="center"/>
        <w:rPr>
          <w:rFonts w:ascii="Arial" w:hAnsi="Arial" w:cs="Arial"/>
          <w:color w:val="000000"/>
          <w:lang w:val="ru-RU"/>
        </w:rPr>
      </w:pPr>
      <w:r w:rsidRPr="00AD3052">
        <w:rPr>
          <w:rFonts w:ascii="Arial" w:hAnsi="Arial" w:cs="Arial"/>
          <w:color w:val="000000"/>
          <w:lang w:val="ru-RU"/>
        </w:rPr>
        <w:t>ОМВД России по району Марфино г. Москвы – одно из административно-территориальных образований Северо-Восточного административного округа г. Москвы с общей площадью 269,7 га.  Общее число населения на 01.01.2016 г. составляет 32691 человек.</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Структура населения по поло-возрастным признакам по сравнению с прошлым годом не изменилась.</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Район относится к спальному типу. На его территории насчитывается          11 улиц. Общая протяженность дорожной сети составляет 17,5 км..</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 В районе  расположены: Главный Ботанический Сад, 142 жилых дома, 88 дворовых территории, 40 автостоянок и ГСК, 1 АЗС, 5 единиц шиномонтажа, 8 автосервисов, 6 автомоек, 43 единицы металлических тентов, 30 стационарных предприятий торговли по продовольственной группе, 24 предприятия торговли по непродовольственной группе, 42 предприятия общественного питания, 5 сетевых магазина, 17 предприятий общественного питания открытой сети, 4 летних кафе, 36 предприятий бытового обслуживания, Владыкинское кладбище, 6 гостиниц, 3 отделения связи, 1 отделения Сбербанка России, 1 городская поликлиника, 1 филиал детской поликлиники, 3 аптеки, 2 аптечных пункта, 2 общеобразовательные школы, 1 центр образования, 1 кадетская школа-интернат, 6 детских садов, 2 высших учебных заведения, 2 колледжа, 1 железнодорожная станция, 1 кинотеатр, 3 общежития, 1 станция метро.</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Вполне естественно, что географическое, социально – демографическое и социально – экономическое положение района Марфино г. Москвы определяет состояние и развитие преступности в его границах.</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 </w:t>
      </w:r>
    </w:p>
    <w:p w:rsidR="00AD3052" w:rsidRPr="00AD3052" w:rsidRDefault="00AD3052" w:rsidP="00AD3052">
      <w:pPr>
        <w:shd w:val="clear" w:color="auto" w:fill="FFFFFF"/>
        <w:spacing w:before="150" w:after="150" w:line="408" w:lineRule="atLeast"/>
        <w:jc w:val="center"/>
        <w:rPr>
          <w:rFonts w:ascii="Arial" w:hAnsi="Arial" w:cs="Arial"/>
          <w:color w:val="000000"/>
          <w:lang w:val="ru-RU"/>
        </w:rPr>
      </w:pPr>
      <w:r w:rsidRPr="00AD3052">
        <w:rPr>
          <w:rFonts w:ascii="Arial" w:hAnsi="Arial" w:cs="Arial"/>
          <w:b/>
          <w:bCs/>
          <w:color w:val="000000"/>
          <w:u w:val="single"/>
          <w:lang w:val="ru-RU"/>
        </w:rPr>
        <w:t>Материально-техническое оснащение:</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b/>
          <w:bCs/>
          <w:color w:val="000000"/>
          <w:u w:val="single"/>
          <w:lang w:val="ru-RU"/>
        </w:rPr>
        <w:t> </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u w:val="single"/>
          <w:lang w:val="ru-RU"/>
        </w:rPr>
        <w:lastRenderedPageBreak/>
        <w:t>Адрес объекта:</w:t>
      </w:r>
      <w:r w:rsidRPr="00AD3052">
        <w:rPr>
          <w:rFonts w:ascii="Arial" w:hAnsi="Arial" w:cs="Arial"/>
          <w:color w:val="000000"/>
          <w:lang w:val="ru-RU"/>
        </w:rPr>
        <w:t> ул. Малая Ботаническая, д. 4А</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u w:val="single"/>
          <w:lang w:val="ru-RU"/>
        </w:rPr>
        <w:t>Общая площадь здания (м</w:t>
      </w:r>
      <w:r w:rsidRPr="00AD3052">
        <w:rPr>
          <w:rFonts w:ascii="Arial" w:hAnsi="Arial" w:cs="Arial"/>
          <w:color w:val="000000"/>
          <w:u w:val="single"/>
          <w:vertAlign w:val="superscript"/>
          <w:lang w:val="ru-RU"/>
        </w:rPr>
        <w:t>2</w:t>
      </w:r>
      <w:r w:rsidRPr="00AD3052">
        <w:rPr>
          <w:rFonts w:ascii="Arial" w:hAnsi="Arial" w:cs="Arial"/>
          <w:color w:val="000000"/>
          <w:u w:val="single"/>
          <w:lang w:val="ru-RU"/>
        </w:rPr>
        <w:t>):</w:t>
      </w:r>
      <w:r w:rsidRPr="00AD3052">
        <w:rPr>
          <w:rFonts w:ascii="Arial" w:hAnsi="Arial" w:cs="Arial"/>
          <w:color w:val="000000"/>
          <w:lang w:val="ru-RU"/>
        </w:rPr>
        <w:t> 801,6</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u w:val="single"/>
          <w:lang w:val="ru-RU"/>
        </w:rPr>
        <w:t>Этажность:</w:t>
      </w:r>
      <w:r w:rsidRPr="00AD3052">
        <w:rPr>
          <w:rFonts w:ascii="Arial" w:hAnsi="Arial" w:cs="Arial"/>
          <w:color w:val="000000"/>
          <w:lang w:val="ru-RU"/>
        </w:rPr>
        <w:t> 2</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u w:val="single"/>
          <w:lang w:val="ru-RU"/>
        </w:rPr>
        <w:t>Тип здания:</w:t>
      </w:r>
      <w:r w:rsidRPr="00AD3052">
        <w:rPr>
          <w:rFonts w:ascii="Arial" w:hAnsi="Arial" w:cs="Arial"/>
          <w:color w:val="000000"/>
          <w:lang w:val="ru-RU"/>
        </w:rPr>
        <w:t> кирпичный</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u w:val="single"/>
          <w:lang w:val="ru-RU"/>
        </w:rPr>
        <w:t>Год постройки:</w:t>
      </w:r>
      <w:r w:rsidRPr="00AD3052">
        <w:rPr>
          <w:rFonts w:ascii="Arial" w:hAnsi="Arial" w:cs="Arial"/>
          <w:color w:val="000000"/>
          <w:lang w:val="ru-RU"/>
        </w:rPr>
        <w:t> 1961</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u w:val="single"/>
          <w:lang w:val="ru-RU"/>
        </w:rPr>
        <w:t>Ранее размещался детский сад.</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Запланирован и проведен  ремонт кровли в текущем году.</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         Существующее здание не соответствует нормам по занимаемым площадям. Для подразделения ОМВД численностью до 150 человек площадь здания должна быть не менее 3400 кв.м.  До размещения подразделения органов внутренних дел, данное здание являлось детским дошкольным образовательным учреждением (ДШОУ).</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В здании требуется ремонт фасада и помещений (ремонт стен, потолка, пола и замена дверей), ремонт коммуникаций, замена сантехоборудования, полная замена системы вентиляции, ремонт кровли.</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Отсутствуют датчики пожарной безопасности на втором этаже и в кабинетах сотрудников.</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b/>
          <w:bCs/>
          <w:color w:val="000000"/>
          <w:u w:val="single"/>
          <w:lang w:val="ru-RU"/>
        </w:rPr>
        <w:t> </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b/>
          <w:bCs/>
          <w:color w:val="000000"/>
          <w:u w:val="single"/>
          <w:lang w:val="ru-RU"/>
        </w:rPr>
        <w:t>Штатная численность и некомплект л/с, комплектование:</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b/>
          <w:bCs/>
          <w:color w:val="000000"/>
          <w:u w:val="single"/>
          <w:lang w:val="ru-RU"/>
        </w:rPr>
        <w:t> </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По штату числится 77 единиц личного состава, из них среднего и старшего начальствующего состава – 47,младшего начальствующего состава и рядового состава - 30, вольнонаемного состава - 5 единиц. По списку - 70 единиц. Некомплект составляет 7 единиц, что равно 9 % от всего количества личного состава, из которых 6 единиц – аттестованные должности, 1 единица - вольнонаёмная. Вакантна должность заместителя начальника полиции (по охране общественного порядка) – начальник отделения участковых уполномоченных полиции. В настоящее время на указанную должность оформляется участковый уполномоченный полиции Хрусталев Александр Андреевич. Вакантна должность старшего оперуполномоченного группы уголовного розыска (по делам несовершеннолетних). На данную должность  подбирается кандидат. Вакантна должность специалиста (по вооружению) группы тылового обеспечения. В настоящее время на указанную должность оформляется полицейский ППСП Митин. Вакантна должность полицейского-водителя комендантской группы, на указанную должность оформляется Данилова. Вакантны 2 должности полицейского ППСП, на одну должность оформляется  Сурин. По комплектованию второй должности ведётся работа.</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b/>
          <w:bCs/>
          <w:color w:val="000000"/>
          <w:lang w:val="ru-RU"/>
        </w:rPr>
        <w:t> </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 </w:t>
      </w:r>
    </w:p>
    <w:p w:rsidR="00AD3052" w:rsidRPr="00AD3052" w:rsidRDefault="00AD3052" w:rsidP="00AD3052">
      <w:pPr>
        <w:shd w:val="clear" w:color="auto" w:fill="FFFFFF"/>
        <w:spacing w:before="150" w:after="150" w:line="408" w:lineRule="atLeast"/>
        <w:jc w:val="center"/>
        <w:rPr>
          <w:rFonts w:ascii="Arial" w:hAnsi="Arial" w:cs="Arial"/>
          <w:color w:val="000000"/>
          <w:lang w:val="ru-RU"/>
        </w:rPr>
      </w:pPr>
      <w:r w:rsidRPr="00AD3052">
        <w:rPr>
          <w:rFonts w:ascii="Arial" w:hAnsi="Arial" w:cs="Arial"/>
          <w:b/>
          <w:bCs/>
          <w:color w:val="000000"/>
          <w:u w:val="single"/>
          <w:lang w:val="ru-RU"/>
        </w:rPr>
        <w:t>Оперативная обстановка на территории района:</w:t>
      </w:r>
    </w:p>
    <w:p w:rsidR="00AD3052" w:rsidRPr="00AD3052" w:rsidRDefault="00AD3052" w:rsidP="00AD3052">
      <w:pPr>
        <w:shd w:val="clear" w:color="auto" w:fill="FFFFFF"/>
        <w:spacing w:before="150" w:after="150" w:line="408" w:lineRule="atLeast"/>
        <w:jc w:val="center"/>
        <w:rPr>
          <w:rFonts w:ascii="Arial" w:hAnsi="Arial" w:cs="Arial"/>
          <w:color w:val="000000"/>
          <w:lang w:val="ru-RU"/>
        </w:rPr>
      </w:pPr>
      <w:r w:rsidRPr="00AD3052">
        <w:rPr>
          <w:rFonts w:ascii="Arial" w:hAnsi="Arial" w:cs="Arial"/>
          <w:color w:val="000000"/>
          <w:lang w:val="ru-RU"/>
        </w:rPr>
        <w:t> </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Деятельность Отдела  МВД России по району Марфино г. Москвы за 12 месяцев 2015 г.  строилась  на основных  приоритетах, определенных в Послании Президента Российской Федерации Федеральному собранию и Директивы  Министерства внутренних дел и внутренних войск МВД России № 2 дсп от 12.12.2014 года, а также исходя из складывающейся в районе оперативной  обстановки.</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В отчетном периоде  на территории обслуживания Отдела МВД России по району Марфино г. Москвы на 38,6 %, увеличилось количество  зарегистрированных преступлений (с 290 до 402 (на 112 случаев), по округу регистрация возросла на 4,1% по городу на 6,8 %).</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 На 20,4 % возросло количество зарегистрированных  тяжких и особо тяжких преступлений (со 113 до 136, по округу снижение регистрации на 9,2%, город на - 1,2 %)</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Удельный вес тяжких и особо тяжких преступлений, от общего числа зарегистрированных составил 34,4 %  (по УВД 26,1%).</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Рост общего количества совершенных преступлений  произошел за счет увеличения числа зарегистрированных:</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 краж на 53,7% (с 123 до 189); по округу  рост на 11,3%, лицо установлено  в  26 случаях. Из них:  квартирных краж на 63,6% (с 11 до 18); по округу  снижение на 6,1%, лицо установлено  в  1 случае. </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 мошенничеств на 210% (с 10 до 31); по округу  рост на 21,3%, лицо установлено  в  5 случаях.</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На территории района за отчетный период 2015 года произошло  увеличение зарегистрированных преступлений данной категории  (с 77 до 82) или на 6,5%,  по округу  снижение  регистрации на 24 %; из них сбыт наркотических средств вырос на 16,3 % (с 49 до 57) по округу  снижение на 30,5%.</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Анализ результатов работы по противодействию преступности показывает, что благодаря принимаемым мерам удалось достичь положительной динамики в раскрытии преступлений, число которых увеличилось со 118 до 120. </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 Раскрываемость составила 29,83% по округу – 26,8 %, по городу – 27,4 %.</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Снизилась раскрываемость по таким  вида  преступлений как:</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-кражам – с 27 до 25.  Раскрываемость составила – 14,2 % (по округу 15,2%.) в том числе квартирным кражам  с 5 до 1  или  5,9 %  (по округу 14,7%.).</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 разбоям с 0 до 2  или 0 % (по округу 57,8 %.).</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-неправомерным  завладениям автотранспортом - с 4 до 3. Раскрываемость – 75% (по округу 36,1 %.).</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Увеличилась раскрываемость преступлений  небольшой тяжести с 46 до 52 или  36,6 %, (по округу 34,9%.).</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Увеличилась раскрываемость по таким  вида  преступлений как :</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-умышленное причинение тяжкого вреда здоровью- с 2 до 7. Раскрываемость – 87,5% (по округу 64,9%.).</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-грабежи –  с 8 до 10. Раскрываемость – 52,6%  (по округу 34,9%.).</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-мошенничества- с 3 до 4.  Раскрываемость – 13,3%  (по округу 13,6%.).</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-вымогательства-  с 0 до 2. Раскрываемость – 100% (по округу 75%.),</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-незаконный оборот оружия с 0 до 1 или  33,3%  (по округу 25%.)</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По итогам  12 месяцев  2015 года число  преступлений  совершаемых в общественных местах  увеличилось на 21,1% (по округу  на 4%)  рост с 194 до 235; раскрыто  30,1% (по округу 22,1%)  рост с 61 до 71; число  зарегистрированных преступлений на улицах вырос на 17,2% (по округу снижение на 5 %) со 134 до 153 раскрываемость  составила 33,5% (по округу 18,9%.). Количество раскрытых преступлений увеличилось с 38 до 53. В основном это кражи и грабежи,  которые  совершаются в вечернее и ночное время суток. </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Сотрудниками ППСП за истекший период времени раскрыто 18  преступлений  (14), нагрузка на 1 сотрудника ППСП составила  0,95 %  (по УВД 0,8)  10 место по округу.</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Участковыми уполномоченными полиции раскрыто 27 преступлений  (37), нагрузка на 1 участкового уполномоченного полиции составила 3,4 %  (по УВД 4,2)  10 место по округу.</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Сотрудниками группы уголовного розыска раскрыто 34 преступления (39). Нагрузка  на 1 оперуполномоченного составила 6,8 %  (по УВД 3,6) 6 место по округу.</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Общая оценка эффективности деятельности Отдела за 12 месяцев 2015 года, согласно приказа МВД РФ № 1040 «Вопросы оценки деятельности  территориальных органов Министерства внутренних дел Российской Федерации», является  отрицательной и составляет 59,36 единицы (УВД по СВАО – 67,27). Данный результат является 15 по УВД среди территориальных подразделений.</w:t>
      </w:r>
    </w:p>
    <w:p w:rsidR="00AD3052" w:rsidRPr="00AD3052" w:rsidRDefault="00AD3052" w:rsidP="00AD3052">
      <w:pPr>
        <w:shd w:val="clear" w:color="auto" w:fill="FFFFFF"/>
        <w:spacing w:before="150" w:after="150" w:line="408" w:lineRule="atLeast"/>
        <w:jc w:val="center"/>
        <w:rPr>
          <w:rFonts w:ascii="Arial" w:hAnsi="Arial" w:cs="Arial"/>
          <w:color w:val="000000"/>
          <w:lang w:val="ru-RU"/>
        </w:rPr>
      </w:pPr>
      <w:r w:rsidRPr="00AD3052">
        <w:rPr>
          <w:rFonts w:ascii="Arial" w:hAnsi="Arial" w:cs="Arial"/>
          <w:color w:val="000000"/>
          <w:lang w:val="ru-RU"/>
        </w:rPr>
        <w:t>Дисциплина и законность</w:t>
      </w:r>
    </w:p>
    <w:p w:rsidR="00AD3052" w:rsidRPr="00AD3052" w:rsidRDefault="00AD3052" w:rsidP="00AD3052">
      <w:pPr>
        <w:shd w:val="clear" w:color="auto" w:fill="FFFFFF"/>
        <w:spacing w:before="150" w:after="150" w:line="408" w:lineRule="atLeast"/>
        <w:jc w:val="center"/>
        <w:rPr>
          <w:rFonts w:ascii="Arial" w:hAnsi="Arial" w:cs="Arial"/>
          <w:color w:val="000000"/>
          <w:lang w:val="ru-RU"/>
        </w:rPr>
      </w:pPr>
      <w:r w:rsidRPr="00AD3052">
        <w:rPr>
          <w:rFonts w:ascii="Arial" w:hAnsi="Arial" w:cs="Arial"/>
          <w:color w:val="000000"/>
          <w:lang w:val="ru-RU"/>
        </w:rPr>
        <w:t> </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За 12 месяцев 2015 года к дисциплинарной ответственности привлечены 35 сотрудников, издано 28 приказов о привлечении к дисциплинарной ответственности: из них «замечание» - 4, выговор - 20, строгий выговор - 4, к дисциплинарной ответственности в основном привлекались участковые уполномоченные полиции за нарушение УПК.</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Издано 5 приказов о поощрении сотрудников, поощрено 11 сотрудников. Из них: снято ранее наложенное взыскание 9 сотрудникам.</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 </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За 12 месяцев 2015 года в Отделе выявлено 14 сотрудников, допустивших нарушения правил дорожного движения и привлекавшиеся к административному наказанию.</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За 12 месяцев проведено:  3 офицерских собрания, 2 комиссии по служебной дисциплине.</w:t>
      </w:r>
    </w:p>
    <w:p w:rsidR="00AD3052" w:rsidRPr="00AD3052" w:rsidRDefault="00AD3052" w:rsidP="00AD3052">
      <w:pPr>
        <w:shd w:val="clear" w:color="auto" w:fill="FFFFFF"/>
        <w:spacing w:before="150" w:after="150" w:line="408" w:lineRule="atLeast"/>
        <w:rPr>
          <w:rFonts w:ascii="Arial" w:hAnsi="Arial" w:cs="Arial"/>
          <w:color w:val="000000"/>
          <w:lang w:val="ru-RU"/>
        </w:rPr>
      </w:pPr>
      <w:r w:rsidRPr="00AD3052">
        <w:rPr>
          <w:rFonts w:ascii="Arial" w:hAnsi="Arial" w:cs="Arial"/>
          <w:color w:val="000000"/>
          <w:lang w:val="ru-RU"/>
        </w:rPr>
        <w:t>2 сотрудника, которые допустили повторные правонарушения, рассмотрены на офицерском собрании (Усачев, Григорьев). С данными сотрудниками руководителями служб  были проведены воспитательные беседы о недопущении впредь нарушений ПДД, с обязательным отражением в картах ИВР, сотрудники, допустившие нарушение ПДД, посещаются по месту жительства.</w:t>
      </w:r>
    </w:p>
    <w:p w:rsidR="009C473A" w:rsidRDefault="009C473A"/>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052"/>
    <w:rsid w:val="009C473A"/>
    <w:rsid w:val="00AD305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AD3052"/>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3052"/>
    <w:rPr>
      <w:rFonts w:ascii="Times" w:hAnsi="Times"/>
      <w:b/>
      <w:bCs/>
      <w:kern w:val="36"/>
      <w:sz w:val="48"/>
      <w:szCs w:val="48"/>
    </w:rPr>
  </w:style>
  <w:style w:type="paragraph" w:styleId="a3">
    <w:name w:val="Normal (Web)"/>
    <w:basedOn w:val="a"/>
    <w:uiPriority w:val="99"/>
    <w:unhideWhenUsed/>
    <w:rsid w:val="00AD3052"/>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AD3052"/>
    <w:rPr>
      <w:b/>
      <w:bCs/>
    </w:rPr>
  </w:style>
  <w:style w:type="character" w:customStyle="1" w:styleId="apple-converted-space">
    <w:name w:val="apple-converted-space"/>
    <w:basedOn w:val="a0"/>
    <w:rsid w:val="00AD30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AD3052"/>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3052"/>
    <w:rPr>
      <w:rFonts w:ascii="Times" w:hAnsi="Times"/>
      <w:b/>
      <w:bCs/>
      <w:kern w:val="36"/>
      <w:sz w:val="48"/>
      <w:szCs w:val="48"/>
    </w:rPr>
  </w:style>
  <w:style w:type="paragraph" w:styleId="a3">
    <w:name w:val="Normal (Web)"/>
    <w:basedOn w:val="a"/>
    <w:uiPriority w:val="99"/>
    <w:unhideWhenUsed/>
    <w:rsid w:val="00AD3052"/>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AD3052"/>
    <w:rPr>
      <w:b/>
      <w:bCs/>
    </w:rPr>
  </w:style>
  <w:style w:type="character" w:customStyle="1" w:styleId="apple-converted-space">
    <w:name w:val="apple-converted-space"/>
    <w:basedOn w:val="a0"/>
    <w:rsid w:val="00AD3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865407">
      <w:bodyDiv w:val="1"/>
      <w:marLeft w:val="0"/>
      <w:marRight w:val="0"/>
      <w:marTop w:val="0"/>
      <w:marBottom w:val="0"/>
      <w:divBdr>
        <w:top w:val="none" w:sz="0" w:space="0" w:color="auto"/>
        <w:left w:val="none" w:sz="0" w:space="0" w:color="auto"/>
        <w:bottom w:val="none" w:sz="0" w:space="0" w:color="auto"/>
        <w:right w:val="none" w:sz="0" w:space="0" w:color="auto"/>
      </w:divBdr>
      <w:divsChild>
        <w:div w:id="234319601">
          <w:marLeft w:val="0"/>
          <w:marRight w:val="0"/>
          <w:marTop w:val="0"/>
          <w:marBottom w:val="0"/>
          <w:divBdr>
            <w:top w:val="none" w:sz="0" w:space="0" w:color="auto"/>
            <w:left w:val="none" w:sz="0" w:space="0" w:color="auto"/>
            <w:bottom w:val="none" w:sz="0" w:space="0" w:color="auto"/>
            <w:right w:val="none" w:sz="0" w:space="0" w:color="auto"/>
          </w:divBdr>
          <w:divsChild>
            <w:div w:id="11763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1335</Words>
  <Characters>7613</Characters>
  <Application>Microsoft Macintosh Word</Application>
  <DocSecurity>0</DocSecurity>
  <Lines>63</Lines>
  <Paragraphs>17</Paragraphs>
  <ScaleCrop>false</ScaleCrop>
  <Company/>
  <LinksUpToDate>false</LinksUpToDate>
  <CharactersWithSpaces>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2016-07-15T10:10:00Z</dcterms:created>
  <dcterms:modified xsi:type="dcterms:W3CDTF">2016-07-15T10:10:00Z</dcterms:modified>
</cp:coreProperties>
</file>