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НАЧАЛЬНИКА ОМВД РОССИИ ПО РАЙОНУ ЛЮБЛИНО Г.МОСКВЫ О ДЕЯТЕЛЬНОСТИ ПОДЧИНЕННОГО ОРГАНА ВНУТРЕННИХ ДЕЛ ЗА 2012 ГОД ПЕРЕД ПРЕДСЕДАТЕЛЕМ ПРЕДСТАВИТЕЛЬНОГО ОРГАНА МУНИЦИПАЛЬНОГО ОБРАЗОВАНИЯ, ГЛАВОЙ РАЙОННОЙ УПРАВЫ И НАСЕЛЕНИЕМ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ОТЧЕТ НАЧАЛЬНИКА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Прошедший год, о результатах работы в котором мы сегодня отчитываемся, оставил после себя двойственное впечатление. Наряду с успехами в оперативно-служебной деятельности Отдела, существовали определённые трудности и проблемы, над разрешением которых ещё предстоит работать в наступившем году.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первую очередь, это сложная оперативная обстановка, связанная как особенностями социально-демографического состава обслуживаемого населения, характеристиками территории района, что определяет качественный состав регистрируемых правонарушений. Во вторую очередь – внутренние проблемы подразделения, а именно – кадровая составляющая.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прошедшем году основные усилия личного состава были направлены, в первую очередь, на раскрытие, расследование и профилактику тяжких, особо тяжких преступлений.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lastRenderedPageBreak/>
        <w:t>Огромную проблему, негативно влияющую на оперативную обстановку в районе, составляет высокий уровень уличной преступности (в особенности – грабежи и кража имущества граждан из автомашин).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Так, в Отделе МВД России по району Люблино г. Москвы один из самых высоких в Москве уровней регистрируемости сообщений о преступлениях и происшествиях – 36 тысяч 30 сообщений (АППГ – 34 тысячи 109), по результатам рассмотрения которых возбуждено 1935 уголовных дел (АППГ - 1770), вынесено 9481 постановление об отказе в возбуждении уголовного дела (АППГ – 8758), 1756 проверочных материалов передано по территориальной подследственности в иные подразделения внутренних дел (АППГ - 1632).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Практически вся нагрузка по разрешению этого количества регистрируемой информации ложится на сотрудников уголовного розыска (10 % от общего вала) и участковых уполномоченных полиции (53 % от общего вала).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Уровень преступности в районе по сравнению с аналогичным периодом прошлого года вырос на 10,6 % и составил 2308 преступлений (АППГ – 2086) или 6,3 преступления за сутки (АППГ – 5,7).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К концу года динамика прироста регистрируемости преступлений пошла на снижение (в течение года данный показатель в среднем составлял 15,4 %), условиями чего стало проведение локальных целевых или комплексных оперативно-профилактических мероприятий.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Раскрыто и направлено в суд 646 преступлений (АППГ – 699; - 7,6 %) или 1,8 преступления в сутки, то есть уровень раскрываемости приблизительно равен 28 % (АППГ – 1,9)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Как уже отмечено мной выше, негативно влияет на оперативную обстановку в районе высокий уровень уличной преступности (в особенности – кражи, грабежи и разбои), при этом уровень раскрываемости данного вида преступлений составляет всего 14,9 % (в отчётном периоде на территории района зарегистрировано 1637 преступлений, совершенных в общественных местах (АППГ – 1322; + 23,8 %), а раскрыто только 244 преступления (АППГ – 266; - 8,3 %)).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Одна из причин существующей проблемы – уменьшение численности выставляемых нарядов вследствие сокращения штатной численности полиции. 3-4 экипажа полиции, обеспечивающих защиту почти 200 тысячного населения района – это крайне мало.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Здесь нам не обойтись без помощи населения: казаков и народной дружины. От них уже сейчас огромная польза и помощь в обеспечении общественного порядка при проведении массовых культурных и религиозных мероприятий.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Хотелось бы обратить внимание руководителей этих структур на такие важные элементы обеспечения порядка, как патрулирование улиц и дворовых территорий, обход совместно с участковыми уполномоченными полиции жилого сектора района.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По тяжести преступлений</w:t>
      </w:r>
      <w:r>
        <w:rPr>
          <w:rFonts w:ascii="Arial" w:hAnsi="Arial" w:cs="Arial"/>
          <w:color w:val="19396C"/>
          <w:sz w:val="32"/>
          <w:szCs w:val="32"/>
          <w:lang w:val="en-US"/>
        </w:rPr>
        <w:t>: количество совершённых на территории района тяжких и особо тяжких преступлений превысило показатели прошлого года на 4,2 % (2012 год – 621, 2011 год – 596), при этом динамика совершения особо тяжких преступлений на протяжении всего года была отрицательной (2012 год – 65, 2011 год – 66; - 1,5 %).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Направляемость в суд уголовных дел данной категории также имеет пропорциональную позитивную тенденцию (2012 год – 174, АППГ – 151; + 15,2 %). При этом если по тяжким преступлениям состояние работы нельзя назвать в полной мере удовлетворительным (2012 год – 129, АППГ – 126;           + 2,4 %), то по особо тяжким преступлениям результативность работы, в целом, может быть признана успешной (2012 год – 45, АППГ – 25; + 80 %):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1"/>
        <w:gridCol w:w="1"/>
        <w:gridCol w:w="1298"/>
        <w:gridCol w:w="1300"/>
        <w:gridCol w:w="2840"/>
        <w:gridCol w:w="1"/>
        <w:gridCol w:w="1"/>
        <w:gridCol w:w="1298"/>
        <w:gridCol w:w="1300"/>
        <w:gridCol w:w="2880"/>
      </w:tblGrid>
      <w:tr w:rsidR="002522F1">
        <w:tblPrEx>
          <w:tblCellMar>
            <w:top w:w="0" w:type="dxa"/>
            <w:bottom w:w="0" w:type="dxa"/>
          </w:tblCellMar>
        </w:tblPrEx>
        <w:tc>
          <w:tcPr>
            <w:tcW w:w="316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Виды</w:t>
            </w:r>
          </w:p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преступлений</w:t>
            </w:r>
          </w:p>
        </w:tc>
        <w:tc>
          <w:tcPr>
            <w:tcW w:w="5440" w:type="dxa"/>
            <w:hMerge w:val="restart"/>
            <w:tcBorders>
              <w:top w:val="single" w:sz="16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Зарегистрировано</w:t>
            </w:r>
          </w:p>
        </w:tc>
        <w:tc>
          <w:tcPr>
            <w:tcW w:w="5440" w:type="dxa"/>
            <w:hMerge/>
            <w:tcBorders>
              <w:top w:val="single" w:sz="16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5440" w:type="dxa"/>
            <w:gridSpan w:val="3"/>
            <w:hMerge/>
            <w:tcBorders>
              <w:top w:val="single" w:sz="16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5480" w:type="dxa"/>
            <w:hMerge w:val="restart"/>
            <w:tcBorders>
              <w:top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Направлено в суд</w:t>
            </w:r>
          </w:p>
        </w:tc>
        <w:tc>
          <w:tcPr>
            <w:tcW w:w="5480" w:type="dxa"/>
            <w:hMerge/>
            <w:tcBorders>
              <w:top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5480" w:type="dxa"/>
            <w:gridSpan w:val="3"/>
            <w:hMerge/>
            <w:tcBorders>
              <w:top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6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1300" w:type="dxa"/>
            <w:gridSpan w:val="3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2012г.</w:t>
            </w:r>
          </w:p>
        </w:tc>
        <w:tc>
          <w:tcPr>
            <w:tcW w:w="1300" w:type="dxa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2011г.</w:t>
            </w:r>
          </w:p>
        </w:tc>
        <w:tc>
          <w:tcPr>
            <w:tcW w:w="2240" w:type="dxa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+/-%</w:t>
            </w:r>
          </w:p>
        </w:tc>
        <w:tc>
          <w:tcPr>
            <w:tcW w:w="1300" w:type="dxa"/>
            <w:gridSpan w:val="3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2012г.</w:t>
            </w:r>
          </w:p>
        </w:tc>
        <w:tc>
          <w:tcPr>
            <w:tcW w:w="1300" w:type="dxa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2011г.</w:t>
            </w:r>
          </w:p>
        </w:tc>
        <w:tc>
          <w:tcPr>
            <w:tcW w:w="2280" w:type="dxa"/>
            <w:tcBorders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+/-%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Тяжкие и особо тяжкие</w:t>
            </w:r>
          </w:p>
        </w:tc>
        <w:tc>
          <w:tcPr>
            <w:tcW w:w="13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621</w:t>
            </w:r>
          </w:p>
        </w:tc>
        <w:tc>
          <w:tcPr>
            <w:tcW w:w="13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596</w:t>
            </w: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4,2</w:t>
            </w:r>
          </w:p>
        </w:tc>
        <w:tc>
          <w:tcPr>
            <w:tcW w:w="13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174</w:t>
            </w:r>
          </w:p>
        </w:tc>
        <w:tc>
          <w:tcPr>
            <w:tcW w:w="13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151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15,2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Тяжкие</w:t>
            </w:r>
          </w:p>
        </w:tc>
        <w:tc>
          <w:tcPr>
            <w:tcW w:w="13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556</w:t>
            </w:r>
          </w:p>
        </w:tc>
        <w:tc>
          <w:tcPr>
            <w:tcW w:w="13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530</w:t>
            </w: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4,9</w:t>
            </w:r>
          </w:p>
        </w:tc>
        <w:tc>
          <w:tcPr>
            <w:tcW w:w="13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129</w:t>
            </w:r>
          </w:p>
        </w:tc>
        <w:tc>
          <w:tcPr>
            <w:tcW w:w="13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126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2,4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Особо тяжкие</w:t>
            </w:r>
          </w:p>
        </w:tc>
        <w:tc>
          <w:tcPr>
            <w:tcW w:w="13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65</w:t>
            </w:r>
          </w:p>
        </w:tc>
        <w:tc>
          <w:tcPr>
            <w:tcW w:w="13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66</w:t>
            </w: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- 1,5</w:t>
            </w:r>
          </w:p>
        </w:tc>
        <w:tc>
          <w:tcPr>
            <w:tcW w:w="13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45</w:t>
            </w:r>
          </w:p>
        </w:tc>
        <w:tc>
          <w:tcPr>
            <w:tcW w:w="13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25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80,0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Общеуголовной направленности</w:t>
            </w:r>
          </w:p>
        </w:tc>
        <w:tc>
          <w:tcPr>
            <w:tcW w:w="13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2222</w:t>
            </w:r>
          </w:p>
        </w:tc>
        <w:tc>
          <w:tcPr>
            <w:tcW w:w="13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1964</w:t>
            </w: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13,1</w:t>
            </w:r>
          </w:p>
        </w:tc>
        <w:tc>
          <w:tcPr>
            <w:tcW w:w="13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573</w:t>
            </w:r>
          </w:p>
        </w:tc>
        <w:tc>
          <w:tcPr>
            <w:tcW w:w="13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593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- 3,4</w:t>
            </w:r>
          </w:p>
        </w:tc>
      </w:tr>
      <w:tr w:rsidR="002522F1">
        <w:tblPrEx>
          <w:tblCellMar>
            <w:top w:w="0" w:type="dxa"/>
            <w:bottom w:w="0" w:type="dxa"/>
          </w:tblCellMar>
        </w:tblPrEx>
        <w:tc>
          <w:tcPr>
            <w:tcW w:w="3160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Экономической направленности</w:t>
            </w:r>
          </w:p>
        </w:tc>
        <w:tc>
          <w:tcPr>
            <w:tcW w:w="1300" w:type="dxa"/>
            <w:gridSpan w:val="3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86</w:t>
            </w:r>
          </w:p>
        </w:tc>
        <w:tc>
          <w:tcPr>
            <w:tcW w:w="1300" w:type="dxa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122</w:t>
            </w:r>
          </w:p>
        </w:tc>
        <w:tc>
          <w:tcPr>
            <w:tcW w:w="2240" w:type="dxa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- 29,5</w:t>
            </w:r>
          </w:p>
        </w:tc>
        <w:tc>
          <w:tcPr>
            <w:tcW w:w="1300" w:type="dxa"/>
            <w:gridSpan w:val="3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73</w:t>
            </w:r>
          </w:p>
        </w:tc>
        <w:tc>
          <w:tcPr>
            <w:tcW w:w="1300" w:type="dxa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106</w:t>
            </w:r>
          </w:p>
        </w:tc>
        <w:tc>
          <w:tcPr>
            <w:tcW w:w="2280" w:type="dxa"/>
            <w:tcBorders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- 31,1</w:t>
            </w:r>
          </w:p>
        </w:tc>
      </w:tr>
    </w:tbl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 xml:space="preserve">По отдельным видам преступлений: </w:t>
      </w:r>
      <w:r>
        <w:rPr>
          <w:rFonts w:ascii="Arial" w:hAnsi="Arial" w:cs="Arial"/>
          <w:color w:val="19396C"/>
          <w:sz w:val="32"/>
          <w:szCs w:val="32"/>
          <w:lang w:val="en-US"/>
        </w:rPr>
        <w:t>в отчётном периоде</w:t>
      </w: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9396C"/>
          <w:sz w:val="32"/>
          <w:szCs w:val="32"/>
          <w:lang w:val="en-US"/>
        </w:rPr>
        <w:t xml:space="preserve">существенно выросло число фактов причинения </w:t>
      </w: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 xml:space="preserve">тяжкого вреда здоровью </w:t>
      </w:r>
      <w:r>
        <w:rPr>
          <w:rFonts w:ascii="Arial" w:hAnsi="Arial" w:cs="Arial"/>
          <w:color w:val="19396C"/>
          <w:sz w:val="32"/>
          <w:szCs w:val="32"/>
          <w:lang w:val="en-US"/>
        </w:rPr>
        <w:t>граждан (2012 – 37, 2011 год – 30; + 23,3 %), а раскрываемость данного вида преступлений практически осталась на прежнем, не в полной мере удовлетворительном, уровне (2012 год – 15, 2011 год – 15).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С учётом сокращения на 27,3 % количества зарегистрированных на территории района убийств, а также числа причинения тяжкого вреда здоровью со смертельным исходом (- 33,3 %), можно отметить определённый положительный профилактический эффект, достигнутый за счёт выявления и пресечения преступлений «двойной превенции»: угроза убийством, причинения побоев, лёгкого вреда здоровью и т.п.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 xml:space="preserve">Значительно, на 13,7 %, возросло количество совершаемых на территории района </w:t>
      </w: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краж</w:t>
      </w:r>
      <w:r>
        <w:rPr>
          <w:rFonts w:ascii="Arial" w:hAnsi="Arial" w:cs="Arial"/>
          <w:color w:val="19396C"/>
          <w:sz w:val="32"/>
          <w:szCs w:val="32"/>
          <w:lang w:val="en-US"/>
        </w:rPr>
        <w:t xml:space="preserve"> (2012 год – 1172, 2011 – 1031), при этом раскрываемость данной категории преступлений остается неудовлетворительной (2012 год – 109, 2011 год – 162; - 32,3 %).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 xml:space="preserve">Имеются определённые позитивные моменты в раскрытии </w:t>
      </w: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краж из квартир</w:t>
      </w:r>
      <w:r>
        <w:rPr>
          <w:rFonts w:ascii="Arial" w:hAnsi="Arial" w:cs="Arial"/>
          <w:color w:val="19396C"/>
          <w:sz w:val="32"/>
          <w:szCs w:val="32"/>
          <w:lang w:val="en-US"/>
        </w:rPr>
        <w:t xml:space="preserve"> граждан (2002 год – 9, АППГ – 7; + 28,6 %) (совершено: 2012 год – 70, 2011 год – 98; - 28,6 %), раскрыто 3 случая </w:t>
      </w: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кражи автомашин</w:t>
      </w:r>
      <w:r>
        <w:rPr>
          <w:rFonts w:ascii="Arial" w:hAnsi="Arial" w:cs="Arial"/>
          <w:color w:val="19396C"/>
          <w:sz w:val="32"/>
          <w:szCs w:val="32"/>
          <w:lang w:val="en-US"/>
        </w:rPr>
        <w:t xml:space="preserve"> (АППГ – 2) (совершено: 2012 год – 137, 2011 год – 158; - 13,3 %).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 xml:space="preserve">Если сравнивать абсолютные показатели число совершённых на территории района </w:t>
      </w:r>
      <w:r>
        <w:rPr>
          <w:rFonts w:ascii="Arial" w:hAnsi="Arial" w:cs="Arial"/>
          <w:b/>
          <w:bCs/>
          <w:color w:val="19396C"/>
          <w:sz w:val="32"/>
          <w:szCs w:val="32"/>
          <w:u w:val="single"/>
          <w:lang w:val="en-US"/>
        </w:rPr>
        <w:t>квартирных краж и хищений автомашин сократилось, а уровень раскрываемости данных видов преступлений немного лучше 2011 года.</w:t>
      </w:r>
      <w:r>
        <w:rPr>
          <w:rFonts w:ascii="Arial" w:hAnsi="Arial" w:cs="Arial"/>
          <w:color w:val="19396C"/>
          <w:sz w:val="32"/>
          <w:szCs w:val="32"/>
          <w:lang w:val="en-US"/>
        </w:rPr>
        <w:t xml:space="preserve"> Однако эти цифры масштабны, а следовательно говорить о каких-либо серьёзных достижениях или уверенном контроле оперативной обстановки излишне и преждевременно. Благодаря проведению локальных оперативно-профилактических мероприятий удаётся на время их проведения приостановить совершение преступлений, однако решить проблему в корне пока не представляется возможным.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 xml:space="preserve">К той же категории можно отнести и </w:t>
      </w: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угоны транспортных средств</w:t>
      </w:r>
      <w:r>
        <w:rPr>
          <w:rFonts w:ascii="Arial" w:hAnsi="Arial" w:cs="Arial"/>
          <w:color w:val="19396C"/>
          <w:sz w:val="32"/>
          <w:szCs w:val="32"/>
          <w:lang w:val="en-US"/>
        </w:rPr>
        <w:t>. Количество этих преступлений сократилось на порядок (2012 год – 19, АППГ – 57; - 66,7 %), но и их раскрываемость существенно снизилась (2012 год – 4   (21,1 % от числа зарегистрированных), АППГ – 19 (33,3 % от числа зарегистрированных); - 78,9 %).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Хочу обратить Ваше внимание, уважаемые граждане, на обеспечение собственной безопасности. Основной причиной совершаемых преступлений – излишняя доверчивость населения, наивность. Объектом преступлений становятся оставляемые Вами в салонах автомашин электроника, носильные вещи и сумки. Практически половина совершаемых в районе квартирных краж совершается благодаря незапертым дверям в квартиру или тому, что представляющие ценность для населения вещи хранятся в общих межквартирных тамбурах. А ведь подобным образом совершённые хищения практически не раскрываются, поскольку преступники не оставляют после себя никаких следов.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«Избирательная» доверчивость граждан продолжает приводить к фактам мошенничества. Не оставляйте своих одиноких и престарелых родственников без постоянного контроля и присмотра: граждане этой категории легко поддаются обаянию преступников, которые выступая от имени социальных служб, благотворительных организаций, и под предлогом обмена денег, выдачи выплат, социальных пособий или раздачи подарков, похищают деньги беззащитных стариков.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 xml:space="preserve">Особую тревогу вызывает количество совершаемых на территории района </w:t>
      </w: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грабежей</w:t>
      </w:r>
      <w:r>
        <w:rPr>
          <w:rFonts w:ascii="Arial" w:hAnsi="Arial" w:cs="Arial"/>
          <w:color w:val="19396C"/>
          <w:sz w:val="32"/>
          <w:szCs w:val="32"/>
          <w:lang w:val="en-US"/>
        </w:rPr>
        <w:t xml:space="preserve"> (2012 год – 233, 2011 год – 163; + 42,9 %) и крайне низкая их раскрываемость (2012 год – 34, 2011 год – 39; - 12,8 %).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 xml:space="preserve">С другой стороны, к концу отчётного периода достигнуты неплохие результаты раскрываемости </w:t>
      </w: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разбойных нападений</w:t>
      </w:r>
      <w:r>
        <w:rPr>
          <w:rFonts w:ascii="Arial" w:hAnsi="Arial" w:cs="Arial"/>
          <w:color w:val="19396C"/>
          <w:sz w:val="32"/>
          <w:szCs w:val="32"/>
          <w:lang w:val="en-US"/>
        </w:rPr>
        <w:t>: из 51 зарегистрированного в отчетном периоде преступления данного вида (АППГ – 42; + 21,4 %) раскрыто и направлено в суд 20 преступлений (АППГ – 15; + 33,3 %).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Благодаря проведению локальных оперативно-профилактических мероприятий удаётся на время их проведения приостанавливать совершение преступлений, однако решить проблему в корне пока не представляется возможным.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Одной из причин и условий существующей проблемы роста преступности являются особенности обслуживаемой территории: а именно – притяжение иностранных и иногородних граждан к ТЯК «Москва» и ТЯЦ «Садовод», которые являются как жертвами преступлений, так и преступниками. Здесь же, в районе, они преимущественно проживают и проводят свой досуг.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Именно на долю иностранцев приходится большое количество совершаемых в районе грабежей, разбойных нападений. В текущем году именно за счёт иностранцев произошел прирост преступлений против жизни и здоровья граждан, а также половой неприкосновенности граждан (в прошлом году данные преступления для представителей иностранных диаспор были не характерны). Безнаказанность незаконного пребывания на территории города порождает дерзость преступного поведения иностранцев.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Участковыми уполномоченными полиции активно отрабатывается жилой сектор, выявляются незаконно сдаваемые в наём квартиры, лица, проживающие на территории района с нарушением миграционного законодательства. К административной ответственности за такие правонарушения привлечено 786 иностранных граждан и 26 квартиросъемщиков.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Цифры значительны, но пока проблема незаконной миграции не решена, и будет оставаться общей проблемой до принятия разумных и адекватных сложившейся действительности законодательных инициатив на федеральном уровне.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Конечно, деятельности Отдела МВД России по району Люблино г. Москвы не является идеальной, решения, принимаемые отдельными сотрудниками, в некоторых случаях являются спорными, что вызывает нарекания и претензии со стороны населения.</w:t>
      </w:r>
    </w:p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течение года на действия и бездействия сотрудников полиции поступило около 400 различных жалоб, причиной которых были: несвоевременное реагирование на сообщения о происшествиях и преступлениях, несогласие граждан с принятыми решениями или не получение уведомления о принятом решении, 20 сотрудников, в том числе 7 руководителей привлечены к дисциплинарной ответственности за различные нарушения, в том числе, обозначенные гражданами в своих жалобах.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1"/>
        <w:gridCol w:w="1"/>
        <w:gridCol w:w="1098"/>
        <w:gridCol w:w="1120"/>
        <w:gridCol w:w="2080"/>
        <w:gridCol w:w="1"/>
        <w:gridCol w:w="1"/>
        <w:gridCol w:w="1118"/>
        <w:gridCol w:w="1120"/>
        <w:gridCol w:w="2080"/>
        <w:gridCol w:w="1"/>
        <w:gridCol w:w="1459"/>
        <w:gridCol w:w="1980"/>
      </w:tblGrid>
      <w:tr w:rsidR="002522F1">
        <w:tblPrEx>
          <w:tblCellMar>
            <w:top w:w="0" w:type="dxa"/>
            <w:bottom w:w="0" w:type="dxa"/>
          </w:tblCellMar>
        </w:tblPrEx>
        <w:tc>
          <w:tcPr>
            <w:tcW w:w="3300" w:type="dxa"/>
            <w:vMerge w:val="restar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ВИДЫ</w:t>
            </w:r>
          </w:p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ПРЕСТУПЛЕНИЙ</w:t>
            </w:r>
          </w:p>
        </w:tc>
        <w:tc>
          <w:tcPr>
            <w:tcW w:w="4300" w:type="dxa"/>
            <w:hMerge w:val="restar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Зарегистрировано</w:t>
            </w:r>
          </w:p>
        </w:tc>
        <w:tc>
          <w:tcPr>
            <w:tcW w:w="4300" w:type="dxa"/>
            <w:hMerge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4300" w:type="dxa"/>
            <w:gridSpan w:val="3"/>
            <w:hMerge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4320" w:type="dxa"/>
            <w:hMerge w:val="restar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Направлено в суд</w:t>
            </w:r>
          </w:p>
        </w:tc>
        <w:tc>
          <w:tcPr>
            <w:tcW w:w="4320" w:type="dxa"/>
            <w:hMerge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4320" w:type="dxa"/>
            <w:gridSpan w:val="3"/>
            <w:hMerge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3440" w:type="dxa"/>
            <w:hMerge w:val="restar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Приостановлено</w:t>
            </w:r>
          </w:p>
        </w:tc>
        <w:tc>
          <w:tcPr>
            <w:tcW w:w="3440" w:type="dxa"/>
            <w:gridSpan w:val="2"/>
            <w:hMerge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00" w:type="dxa"/>
            <w:vMerge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1100" w:type="dxa"/>
            <w:gridSpan w:val="3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2012г</w:t>
            </w:r>
          </w:p>
        </w:tc>
        <w:tc>
          <w:tcPr>
            <w:tcW w:w="1120" w:type="dxa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2011г</w:t>
            </w:r>
          </w:p>
        </w:tc>
        <w:tc>
          <w:tcPr>
            <w:tcW w:w="1280" w:type="dxa"/>
            <w:tcBorders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+/- %</w:t>
            </w:r>
          </w:p>
        </w:tc>
        <w:tc>
          <w:tcPr>
            <w:tcW w:w="1120" w:type="dxa"/>
            <w:gridSpan w:val="3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2012г</w:t>
            </w:r>
          </w:p>
        </w:tc>
        <w:tc>
          <w:tcPr>
            <w:tcW w:w="1120" w:type="dxa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2011г</w:t>
            </w:r>
          </w:p>
        </w:tc>
        <w:tc>
          <w:tcPr>
            <w:tcW w:w="1280" w:type="dxa"/>
            <w:tcBorders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%</w:t>
            </w:r>
          </w:p>
        </w:tc>
        <w:tc>
          <w:tcPr>
            <w:tcW w:w="1460" w:type="dxa"/>
            <w:gridSpan w:val="2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2012г.</w:t>
            </w:r>
          </w:p>
        </w:tc>
        <w:tc>
          <w:tcPr>
            <w:tcW w:w="1480" w:type="dxa"/>
            <w:tcBorders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2011г.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Убийство</w:t>
            </w:r>
          </w:p>
        </w:tc>
        <w:tc>
          <w:tcPr>
            <w:tcW w:w="11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8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11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- 27,3</w:t>
            </w:r>
          </w:p>
        </w:tc>
        <w:tc>
          <w:tcPr>
            <w:tcW w:w="112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7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5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40,0</w:t>
            </w:r>
          </w:p>
        </w:tc>
        <w:tc>
          <w:tcPr>
            <w:tcW w:w="14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Тяжкий вред здоровью</w:t>
            </w:r>
          </w:p>
        </w:tc>
        <w:tc>
          <w:tcPr>
            <w:tcW w:w="11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37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30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23,3</w:t>
            </w:r>
          </w:p>
        </w:tc>
        <w:tc>
          <w:tcPr>
            <w:tcW w:w="112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15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15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=</w:t>
            </w:r>
          </w:p>
        </w:tc>
        <w:tc>
          <w:tcPr>
            <w:tcW w:w="14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23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16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в т.ч. со смерт. исходом</w:t>
            </w:r>
          </w:p>
        </w:tc>
        <w:tc>
          <w:tcPr>
            <w:tcW w:w="11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4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6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- 33,3</w:t>
            </w:r>
          </w:p>
        </w:tc>
        <w:tc>
          <w:tcPr>
            <w:tcW w:w="112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3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4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- 25,0</w:t>
            </w:r>
          </w:p>
        </w:tc>
        <w:tc>
          <w:tcPr>
            <w:tcW w:w="14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Изнасилование</w:t>
            </w:r>
          </w:p>
        </w:tc>
        <w:tc>
          <w:tcPr>
            <w:tcW w:w="11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6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5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20,0</w:t>
            </w:r>
          </w:p>
        </w:tc>
        <w:tc>
          <w:tcPr>
            <w:tcW w:w="112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4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3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33,3</w:t>
            </w:r>
          </w:p>
        </w:tc>
        <w:tc>
          <w:tcPr>
            <w:tcW w:w="14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КРАЖИ</w:t>
            </w:r>
          </w:p>
        </w:tc>
        <w:tc>
          <w:tcPr>
            <w:tcW w:w="11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1172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1031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13,7</w:t>
            </w:r>
          </w:p>
        </w:tc>
        <w:tc>
          <w:tcPr>
            <w:tcW w:w="112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109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161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- 32,3</w:t>
            </w:r>
          </w:p>
        </w:tc>
        <w:tc>
          <w:tcPr>
            <w:tcW w:w="14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1072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866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В т. ч. из квартир</w:t>
            </w:r>
          </w:p>
        </w:tc>
        <w:tc>
          <w:tcPr>
            <w:tcW w:w="11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70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98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- 28,6</w:t>
            </w:r>
          </w:p>
        </w:tc>
        <w:tc>
          <w:tcPr>
            <w:tcW w:w="112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9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7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28,6</w:t>
            </w:r>
          </w:p>
        </w:tc>
        <w:tc>
          <w:tcPr>
            <w:tcW w:w="14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70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94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В т. ч. трансп.</w:t>
            </w:r>
          </w:p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средств</w:t>
            </w:r>
          </w:p>
        </w:tc>
        <w:tc>
          <w:tcPr>
            <w:tcW w:w="11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150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172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- 12,8</w:t>
            </w:r>
          </w:p>
        </w:tc>
        <w:tc>
          <w:tcPr>
            <w:tcW w:w="112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3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50,0</w:t>
            </w:r>
          </w:p>
        </w:tc>
        <w:tc>
          <w:tcPr>
            <w:tcW w:w="14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165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162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ГРАБЕЖИ</w:t>
            </w:r>
          </w:p>
        </w:tc>
        <w:tc>
          <w:tcPr>
            <w:tcW w:w="11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233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163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42,9</w:t>
            </w:r>
          </w:p>
        </w:tc>
        <w:tc>
          <w:tcPr>
            <w:tcW w:w="112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34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39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- 12,8</w:t>
            </w:r>
          </w:p>
        </w:tc>
        <w:tc>
          <w:tcPr>
            <w:tcW w:w="14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187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123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В т.ч. квартирные</w:t>
            </w:r>
          </w:p>
        </w:tc>
        <w:tc>
          <w:tcPr>
            <w:tcW w:w="11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400,0</w:t>
            </w:r>
          </w:p>
        </w:tc>
        <w:tc>
          <w:tcPr>
            <w:tcW w:w="112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4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3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В т.ч. с целью завлад. трансп.</w:t>
            </w:r>
          </w:p>
        </w:tc>
        <w:tc>
          <w:tcPr>
            <w:tcW w:w="11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6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- 16,7</w:t>
            </w:r>
          </w:p>
        </w:tc>
        <w:tc>
          <w:tcPr>
            <w:tcW w:w="112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4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5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РАЗБОИ</w:t>
            </w:r>
          </w:p>
        </w:tc>
        <w:tc>
          <w:tcPr>
            <w:tcW w:w="11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51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42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21,4</w:t>
            </w:r>
          </w:p>
        </w:tc>
        <w:tc>
          <w:tcPr>
            <w:tcW w:w="112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20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15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33,3</w:t>
            </w:r>
          </w:p>
        </w:tc>
        <w:tc>
          <w:tcPr>
            <w:tcW w:w="14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31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23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В т.ч. квартирные</w:t>
            </w:r>
          </w:p>
        </w:tc>
        <w:tc>
          <w:tcPr>
            <w:tcW w:w="11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12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4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В т.ч. с целью завлад. трансп.</w:t>
            </w:r>
          </w:p>
        </w:tc>
        <w:tc>
          <w:tcPr>
            <w:tcW w:w="11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12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4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УГОНЫ</w:t>
            </w:r>
          </w:p>
        </w:tc>
        <w:tc>
          <w:tcPr>
            <w:tcW w:w="11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20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57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- 64,9</w:t>
            </w:r>
          </w:p>
        </w:tc>
        <w:tc>
          <w:tcPr>
            <w:tcW w:w="112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4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19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- 78,9</w:t>
            </w:r>
          </w:p>
        </w:tc>
        <w:tc>
          <w:tcPr>
            <w:tcW w:w="14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16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45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ХУЛИГАНСТВО</w:t>
            </w:r>
          </w:p>
        </w:tc>
        <w:tc>
          <w:tcPr>
            <w:tcW w:w="11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11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8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37,5</w:t>
            </w:r>
          </w:p>
        </w:tc>
        <w:tc>
          <w:tcPr>
            <w:tcW w:w="112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3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-</w:t>
            </w:r>
          </w:p>
        </w:tc>
        <w:tc>
          <w:tcPr>
            <w:tcW w:w="14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9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7</w:t>
            </w:r>
          </w:p>
        </w:tc>
      </w:tr>
      <w:tr w:rsidR="002522F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Хранение оружия</w:t>
            </w:r>
          </w:p>
        </w:tc>
        <w:tc>
          <w:tcPr>
            <w:tcW w:w="11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8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8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=</w:t>
            </w:r>
          </w:p>
        </w:tc>
        <w:tc>
          <w:tcPr>
            <w:tcW w:w="112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4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3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33,3</w:t>
            </w:r>
          </w:p>
        </w:tc>
        <w:tc>
          <w:tcPr>
            <w:tcW w:w="14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6</w:t>
            </w:r>
          </w:p>
        </w:tc>
        <w:tc>
          <w:tcPr>
            <w:tcW w:w="1480" w:type="dxa"/>
            <w:tcBorders>
              <w:bottom w:val="single" w:sz="8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4</w:t>
            </w:r>
          </w:p>
        </w:tc>
      </w:tr>
      <w:tr w:rsidR="002522F1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32"/>
                <w:szCs w:val="32"/>
                <w:lang w:val="en-US"/>
              </w:rPr>
              <w:t>НАРКОТИКИ</w:t>
            </w:r>
          </w:p>
        </w:tc>
        <w:tc>
          <w:tcPr>
            <w:tcW w:w="1100" w:type="dxa"/>
            <w:gridSpan w:val="3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144</w:t>
            </w:r>
          </w:p>
        </w:tc>
        <w:tc>
          <w:tcPr>
            <w:tcW w:w="1120" w:type="dxa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77</w:t>
            </w:r>
          </w:p>
        </w:tc>
        <w:tc>
          <w:tcPr>
            <w:tcW w:w="1280" w:type="dxa"/>
            <w:tcBorders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87,0</w:t>
            </w:r>
          </w:p>
        </w:tc>
        <w:tc>
          <w:tcPr>
            <w:tcW w:w="1120" w:type="dxa"/>
            <w:gridSpan w:val="3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52</w:t>
            </w:r>
          </w:p>
        </w:tc>
        <w:tc>
          <w:tcPr>
            <w:tcW w:w="1120" w:type="dxa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23</w:t>
            </w:r>
          </w:p>
        </w:tc>
        <w:tc>
          <w:tcPr>
            <w:tcW w:w="1280" w:type="dxa"/>
            <w:tcBorders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126,1</w:t>
            </w:r>
          </w:p>
        </w:tc>
        <w:tc>
          <w:tcPr>
            <w:tcW w:w="1460" w:type="dxa"/>
            <w:gridSpan w:val="2"/>
            <w:tcBorders>
              <w:bottom w:val="single" w:sz="16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79</w:t>
            </w:r>
          </w:p>
        </w:tc>
        <w:tc>
          <w:tcPr>
            <w:tcW w:w="1480" w:type="dxa"/>
            <w:tcBorders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2522F1" w:rsidRDefault="002522F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32"/>
                <w:szCs w:val="32"/>
                <w:lang w:val="en-US"/>
              </w:rPr>
              <w:t>42</w:t>
            </w:r>
          </w:p>
        </w:tc>
      </w:tr>
    </w:tbl>
    <w:p w:rsidR="002522F1" w:rsidRDefault="002522F1" w:rsidP="002522F1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9C473A" w:rsidRDefault="009C473A">
      <w:bookmarkStart w:id="0" w:name="_GoBack"/>
      <w:bookmarkEnd w:id="0"/>
    </w:p>
    <w:sectPr w:rsidR="009C473A" w:rsidSect="00257DD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F1"/>
    <w:rsid w:val="002522F1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1704</Words>
  <Characters>9719</Characters>
  <Application>Microsoft Macintosh Word</Application>
  <DocSecurity>0</DocSecurity>
  <Lines>80</Lines>
  <Paragraphs>22</Paragraphs>
  <ScaleCrop>false</ScaleCrop>
  <Company/>
  <LinksUpToDate>false</LinksUpToDate>
  <CharactersWithSpaces>11401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2013-03-18T09:44:00Z</dcterms:created>
  <dcterms:modified xsi:type="dcterms:W3CDTF">2013-03-18T09:44:00Z</dcterms:modified>
</cp:coreProperties>
</file>