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Отчет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Начальника ОМВД Чертаново  Северное г. Москвы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Об итогах оперативно-служебной деятельности служб ОМВД России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г. Москвы по району Чертаново Северное    за 12  месяцев 2012г.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Оперативная обстановка. Динамика и структура преступности.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Результаты работы по раскрытию и предупреждению преступлений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В отчётном периоде, общее количество зарегистрированных преступлений в районе возросло по сравнению с АППГ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 xml:space="preserve">(с 1774 до 1484)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 + 19,5%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(+ 290 случая)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по округу +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7,0%.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Произошло  увеличение регистрации таких видов преступлений как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убийство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 xml:space="preserve">(с 2 до 4)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на + 100,0 % 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по округу – 8,0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%. 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и направлено в суд (1 АППГ-5), удельный вес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25,0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по округу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41,0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.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УПВЗТ</w:t>
      </w: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(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с 8 до 12</w:t>
      </w: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 xml:space="preserve">)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на + 50,0%,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по округу +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12,4%,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и в суд направлено(9АППГ-1), удельный вес 47,4 / 30,4, общее количества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краж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 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 823 до 942)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 + 14,5%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(+ 119 случая), )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по округу +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  12,3%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и направлено в суд (155 АППГ- 92), удельный вес 14,5 / 9,8,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краж транспортных средств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 xml:space="preserve">(с 76 до 108)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на + 42,1%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(+ 31 случая)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по округу +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18,6%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и направлено в суд (8 АППГ-3), удельный вес 6,7 / 5,0, в том числе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автомобилей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 xml:space="preserve">(с 70 до 91)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на + 30,0%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(+ 21 случаев),по округу +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17,6%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и направлено в суд (5 АППГ-3), удельный вес 4,9 / 4,2. Также возросло количество преступлений связанных с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незаконным оборотом наркотиков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 68 до 96)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 + 41,2%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(+ 28 случая), )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по округу +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24,0%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но направлено в суд значительно больше (42 АППГ-16), удельный вес 36,2 / 32,3, также возросли  преступления связанных со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сбытом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 41 до 71)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 + 73,2%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 (+30 случаев), )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по округу +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27,6% 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и направлено в суд (9 АППГ-0), удельный вес 11,4 / 10,2,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мошенничество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(со 155 до 322)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на +107,7%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(+ 167 случаев),  по округу +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13,8%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и направлено в суд (158 АППГ-8), удельный вес 45,4 / 23,8, 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грабежей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 xml:space="preserve">(с 125 до 137)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на + 9,6%,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по округу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+ 2,9%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и в суд направлено (21 АППГ-22), удельный вес 13,0 / 14,0, 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разбои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 24 до 34)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на +41.7%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(+ 10 случаев), по округу + 44,0% и в суд направлено (9 АППГ-7), удельный вес 22,0 / 19,5, незначительно увеличилось количество преступлений связанных с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неправомерным завладением транспорта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 14 до 15)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на + 7,1%, по округу + 14,1%  и направлено в суд (4 АППГ-4), удельный вкс 25,0 /22,3.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Вместе с тем сократилось количество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квартирных краж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 68 до 41)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на – 39,7%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(на – 27 случаев), по округу – 9,4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 в суд направлено (16 АППГ-2), удельный вес 29,6 / 11,1, 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краж с проникновением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(со 121 до 69)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на -43,0%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(-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lastRenderedPageBreak/>
        <w:t>52 случаев), по округу – 7,2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%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и в суд направлено (21 АППГ-4), удельный вес 22,6 / 8,9.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В отчётном периоде, количество зарегистрированных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тяжких и особо тяжких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преступлений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увеличилось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на 189 случаев и составило 538 преступлений (АППГ-349). Соответственно количество зарегистрированных преступлений категории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тяжкие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увеличилось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 315 до 480)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, на + 165 случаев или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на +52,4%,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по округу+ 7,3% и направлено в суд значительно больше (221 АППГ-50), удельный вес составил 40,0 / 20,8, а количество зарегистрированных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особо тяжких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увеличилось на + 24 преступлений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 34 до 58)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на + 70,6%,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по округу + 35,7 %  в суд направлено (12 АППГ-13), удельный вес 18,8 / 17,0.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Увеличилось по сравнению с аналогичным периодом прошлого года, количество зарегистрированных преступлений, совершенных  в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общественных местах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 xml:space="preserve">(с 1074 до 1271)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 + 18,3%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или на + 197 случая по округу + 17,7% и в суд было направлено больше (231 АППГ-144), удельный вес 16,0 / 11,6,а преступлений совершённых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 улицах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увеличилось (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 xml:space="preserve">с 702 до 866)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на+ 23,4%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или на + 164 случая, по округу + 29,2% и направлено в суд (123 АППГ-64), удельный вес 12,7 / 10,0.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Наибольшую долю в структуре зарегистрированной  преступности, как правило, составляют преступления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обще уголовной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направленности, количество которых в отчётном периоде возросло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 1460 до 1606)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 +10,0%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или на + 146 случая, по округу + 8,0% и в суд направлено (324 АППГ-247) удельный вес 17,5 / 15,7 и составило 92,4% от общего числа зарегистрированных преступлений.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Уровень преступности в районе, в расчёте на каждого жителя, составил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u w:val="single"/>
          <w:lang w:val="en-US"/>
        </w:rPr>
        <w:t>0,02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преступления.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В отчётном периоде, службами ОМВД раскрыты и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направлены в суды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 уголовные дела по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484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преступлениям, что на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217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уголовных дела (+ 81,3%) по округу + 4,6%, больше, чем за аналогичный период 2011 года -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(в суды было направлено 267 уголовных дел).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Административная практика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В отчетном периоде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всего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за различные административные правонарушения было составлено и внесено в базу 7183 протоколов, что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 – 51,5%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или – 6761 протокола меньше чем за АППГ когда было составлено 13944 протоколов.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Из них службой УУП и отдельной ротой в отчетном периоде 2012 года было составлено 6541 административных протокола (АППГ-13065) – 6524 административных протокола.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Так службой УУП в отчетном периоде составлено 3390 административных протокола (АППГ-8306) – 4916 протокола, отдельной ротой составлено 3151 административных протокола (АППГ-4759) – 1608 протокола.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Наложено штрафов по административным протоколам 1560650 рублей, взыскано 1236700 рублей, процент взыскаемости 79,2%, за АППГ было наложено 1326573 рублей, взыскано 1114573 рублей процент взыскаемости составил 84,0%.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В административную комиссии в 2012 году было направлено-182 материалов, рассмотрено-174, за АППГ было направлено-308, рассмотрено-214.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076646" w:rsidRDefault="00076646" w:rsidP="00076646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color w:val="262626"/>
          <w:sz w:val="60"/>
          <w:szCs w:val="60"/>
          <w:lang w:val="en-US"/>
        </w:rPr>
      </w:pPr>
      <w:r>
        <w:rPr>
          <w:rFonts w:ascii="Tahoma" w:hAnsi="Tahoma" w:cs="Tahoma"/>
          <w:b/>
          <w:bCs/>
          <w:color w:val="262626"/>
          <w:sz w:val="60"/>
          <w:szCs w:val="60"/>
          <w:lang w:val="en-US"/>
        </w:rPr>
        <w:t>Профилактическая работа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По сравнению с аналогичным периодом прошлого года, возросло количество преступлений  совершенными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несовершеннолетними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 4 до 12)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инаправлено в суд (12 АППГ-6), удельный вес 92,3 / 10,0, лицами,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не имеющими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постоянного места работы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(со 150 до 199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) и направлено в суд (248 АППГ-174), удельный вес 89,9 /95,3,  а преступлений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 совершённых не жителями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г. Москвы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 xml:space="preserve">(со 110 до 247)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и направлено в суд (270 АППГ-127), удельный вес 94,1 / 96,9.  Снизилось количество преступлений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лицами, ранее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совершавшими преступления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(с 85 до 83)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 и направлено в суд (114 АППГ-103), удельный вес 97,4/99,6.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- 17.01.2012г.,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в 22.30 час., экипажем ГНР в составе сержанта полиции Каноненкова, сержанта полиции Суходольского и водителем старшим сержантом полиции Мирсадоминовым  по адресу: г. Москва, ул. Чертановская дом 17, задержаны двое молодых людей, которые угрожая словами несовершеннолетнему отобрали у него сотовый телефон.  По данному факту возбуждено уголовное дело по ст. 161 ч. 1 УК РФ.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24.01.2012г.,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экипажем ГНР за совершение квартирной кражи задержан гражданин Зелинский и гражданин Тютвин, которые признались еще в 19 квартирных краж. По данному факту возбуждено уголовное дело по ст. 158 ч. 3 УК РФ.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20.03.2012г.,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экипажем МВ задержаны двое молодых людей, которые снимали с припаркованных автомашин государственные регистрационные номера и за материально вознаграждение возвращали государственные номера владельцам автомашин. По данному факту возбуждено уголовное дело по ст. 163 ч. 2 УК РФ.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16.04.2012г.,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в микрорайоне Северное Чертаново дом 4-404 путем вскрытия гаража было похищено четыре колеса от автомобиля Мерседес, сумма ущерба составила 250 000 рублей. Старшим УУП майором полиции Пановым О.В., и УУП старшим лейтенантом полиции Бойцовым Ю.В., в оде оперативно розыскных мероприятий был задержан гражданин Коршинов, который в содеянном сознался. По данному факту возбуждено УД по ст. 158 ч.2 УК РФ.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01.05.12гг.,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по адресу Балаклавский проспект дом 7 (около торговых павильонов)  в 11.30 час., УУП Насибуллиным И.Р., был задержан гражданин Гаврилов А.М., который у гражданки Милешиной Е.В., из рук вырвал дамскую сумочку и пытался скрыться. По данному факту возбуждено УД по ст. 161 ч.1 УК РФ.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- 09.06.12г.,  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в 05.05 час,обратился гражданин Абрамкин А.А. и заявил, что неизвестный по ул. Чертановская дом 21 взломал личинку замка его автомашины и похитил навигатор и автомагнитолу. Экипажем ГНР был задержан гражданин Земсков А.Н., который в содеянном признался, похищенное изъято. По данному факту возбуждено УД по ст. 161 ч.1 УК РФ.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- 20.06.12г.,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в 08.00 час.,  сотрудниками АП ППС задержан гражданин Каргаев Д.А., у которого при личном досмотре обнаружен и изъят сверток с веществом 1,67 гр., содержащим в своем составе амфетамин. . По данному факту возбуждено УД по ст. 228 ч.2 УК РФ.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-26.06.12г.,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в 12.00 час., УУП в ходе ОРМ был задержан гражданин Ануров А.А., который 17.06.12г., в кафе «Колковна», расположенное АО адресу Лубянский проезд дом 15, у своей знакомой воспользовавшись ее невнимательностью похитил у последней ключи от квартиры и незаконно проник в ее квартиру против ее воли, тем самым нарушил конституционное право на неприкосновенность жилища. По данному факту возбуждено УД по ст. 139 ч.1 УК РФ.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- 20.07.12г.,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ротой ППСМ во время патрулирования территории в ночное время по адресу: Сумской проезд дом 8-3. за кражу скутера задержан гражданин, который признался в совершении пяти аналогичных краж на территории ОМВД.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01.08.12г.,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УУП в ходе проведения оперативно – розыскных мероприятий в 17.00 час., у ТЦ Глобл СИТИ задержан гражданка Молофеева К.Г., которая совершила кражу 5000 рублей из сумки гражданки Молофеевой О.Н.. По данному факту возбуждено уголовное дело по ст. 158 ч.2 УК РФ,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04.09.12г.,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 УУП в ходе проведения ОРМ задержан гражданин Хижняк В.В., который нанес телесные повреждения гражданке Брюнцевой О.О. от которых гражданка Брюнцева О,О,, скончалась. По данному факту возбуждено уголовное дело по ст. 111 ч. 4 УК РФ.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10.10.12г.,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автоэкипажем ГНР задержаны три уроженца Киргизии, которые у дома 1 расположенному по Дорожной улице, угрожая ножом гражданину Егамбердиеву Х.Д., связали его, поместили в багажник автомашины ВАЗ-21099, но у дома 97 по Варшавскому шоссе Егамбердиев Х.Д., воспользовался не до конца закрытым багажником и выпрыгнул из него. По данному факту возбуждено уголовное дело по ст. 162 ч.2 УКРФ.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14.12.12г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., автоэкипажем ГНР задержан гражданин Радюхин Д.А., который после совместного распития спиртных напитков нанес ножевые ранения гражданину Доронину В.К., который по дороге в ГКБ № 7 скончался. По данному факту возбуждено уголовное дело по ст. 105 ч.1 УКРФ,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Основными задачами в 2013 году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, в качестве приоритетных направлений     деятельности системы МВД РФ 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ОПРЕДЕЛИТЬ: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     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Укрепление тенденции восстановления доверия общества, граждан к органам внутренних дел, совершенствование информационной политики в системе МВД России, повышение открытости его деятельности и уровня взаимодействия с гражданским обществом.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     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Обеспечение функциональной эффективности органов внутренних дел в условиях реформирования на основе модернизации их организационно-штатного построения, оптимизации управленческой деятельности и бюджетных расходов, укрепления учетно-регистрационной дисциплины, совершенствования нормативно-правового регулирования сферы внутренних дел и системы правового информирования.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     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Укрепление кадров, поддержание служебной дисциплины и законности в служебных коллективах, повышение уровня профессиональной и морально-психологической готовности личного состава к выполнению поставленных задач.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     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Усиление противодействия организованной преступности, совершенствование его форм и методов, улучшение прогнозирования оперативной обстановки в данной сфере, своевременное реагирование на ее изменение.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     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Дальнейшее укрепление законности в сфере расследование преступлений, повышение ответственности за процессуальные решения, принимаемые по уголовным делам и результативность этой деятельности.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     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Активизацию профилактической, в том числе воспитательной, пропагандисткой, работы по предупреждению экстремистской деятельности, оптимизацию ее информационно-аналитического обеспечения, укрепление оперативных позиций в среде общественных и религиозных объединений, распространяющих идей национальной розни и религиозного экстремизма.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     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Улучшение качества решения задач оперативно-розыскной деятельности с использованием современных методов и наилучших практик.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     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Снижение уровня криминализации и коррупционной пораженности ключевых отраслей экономики, активизацию борьбы с противоправным переделом собственности, хищениями и нецелевым использованием бюджетных денежных средств.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     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Обеспечение правопорядка и общественной безопасности на объектах транспорта, развитие взаимодействия субъектов, участвующих в обеспечении безопасности дорожного движения.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     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Поддержание боевой готовности внутренних войск МВД России, модернизацию потенциала их служебно-боевого применения в условиях вооруженных конфликтов и иных чрезвычайных обстоятельств, а также в военное время, формирование оптимального состава группировок войск, эффективной системы комплектования и подготовки личного состава.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-        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>Внедрение в деятельность МВД России инновационных технологий, в том числе в сфере государственного управления и администрирования, реализацию целей государственной политики в области стандартов оказания государственных услуг.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ind w:left="96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Начальник ОМВД                                                                Б.В. Носов</w:t>
      </w:r>
    </w:p>
    <w:p w:rsidR="00076646" w:rsidRDefault="00076646" w:rsidP="00076646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</w:p>
    <w:p w:rsidR="009C473A" w:rsidRDefault="009C473A">
      <w:bookmarkStart w:id="0" w:name="_GoBack"/>
      <w:bookmarkEnd w:id="0"/>
    </w:p>
    <w:sectPr w:rsidR="009C473A" w:rsidSect="008420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46"/>
    <w:rsid w:val="00076646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1897</Words>
  <Characters>10819</Characters>
  <Application>Microsoft Macintosh Word</Application>
  <DocSecurity>0</DocSecurity>
  <Lines>90</Lines>
  <Paragraphs>25</Paragraphs>
  <ScaleCrop>false</ScaleCrop>
  <Company/>
  <LinksUpToDate>false</LinksUpToDate>
  <CharactersWithSpaces>12691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2013-03-21T10:39:00Z</dcterms:created>
  <dcterms:modified xsi:type="dcterms:W3CDTF">2013-03-22T14:01:00Z</dcterms:modified>
</cp:coreProperties>
</file>