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АНАЛИТИЧЕСКАЯ СПРАВКА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 «Об основных результатах оперативно-служебной деятельности Отдела МВД России по району Орехово-Борисово Северное  г. Москвы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за 12 месяцев  2012 года»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42"/>
          <w:szCs w:val="42"/>
          <w:lang w:val="en-US"/>
        </w:rPr>
        <w:t>Социально-демографическая характеристика района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Район Орехово-Борисово Северное Южного административного округа города Москвы имеет границы с районами: Орехово-Борисово Южное, Зябликово, природно-историческим парком «Царицыно» и водную границу по Борисовским прудам с районом Москворечье Сабурово. Занимает общую площадь 767,16 ГА, в том числе 1939,6 тысяч квадратных метров жилого массива, или 142 дома, в которых расположено 732 подъезда, где размещено 37287 квартир.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Район Орехово-Борисово Северное – это более 92 тысяч  жителей, в том числе: 80495 человек взрослого населения и  12030 детей.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На территории района расположено 2 общежития, 4 гостиницы, 5 колледжей, 10 муниципальных общеобразовательных школ, 19 детских садов, 39 объектов торговли, 20 объектов кредитно-финансовых учреждений (банков, сберкасс), 1 промышленное предприятие, 2 станции московского метрополитена.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42"/>
          <w:szCs w:val="42"/>
          <w:lang w:val="en-US"/>
        </w:rPr>
        <w:t>Общая характеристика состояния преступности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В отчетном периоде коллектив Отдела МВД </w:t>
      </w:r>
      <w:r>
        <w:rPr>
          <w:rFonts w:ascii="Arial" w:hAnsi="Arial" w:cs="Arial"/>
          <w:color w:val="4F0000"/>
          <w:sz w:val="38"/>
          <w:szCs w:val="38"/>
          <w:lang w:val="en-US"/>
        </w:rPr>
        <w:lastRenderedPageBreak/>
        <w:t>России по району Орехово-Борисово Северное г. Москвы строил свою работу в соответствии с нормативными документами МВД России, Директивой Министра внутренних дел Российской Федерации от 26 октября 2011 года № 2 дсп, решением Коллегии  МВД России, указаниями и приказами ГУ МВД России по г. Москве и ГУ МВД России по Южному административному округу г. Москвы,  распоряжениями Мэра г. Москвы и Префекта Южного округа, определившими основные задачи на 2012 год.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Значительные усилия были приложены при обеспечении общественного порядка и безопасности в период выборов Президента Российской Федерации, иных праздничных и религиозных мероприятий, в ходе которых не было допущено чрезвычайных происшествий и нарушений общественного порядка.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В течение 2012 года по сравнению с 2011 годом оперативная обстановка на обслуживаемой территории оставалась непростой: с одной стороны, отмечается </w:t>
      </w:r>
      <w:r>
        <w:rPr>
          <w:rFonts w:ascii="Arial" w:hAnsi="Arial" w:cs="Arial"/>
          <w:b/>
          <w:bCs/>
          <w:color w:val="4F0000"/>
          <w:sz w:val="38"/>
          <w:szCs w:val="38"/>
          <w:u w:val="single"/>
          <w:lang w:val="en-US"/>
        </w:rPr>
        <w:t>снижение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общего количества зарегистрированных преступлений на 6,7%,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 xml:space="preserve">(с 1507 до 1406) </w:t>
      </w:r>
      <w:r>
        <w:rPr>
          <w:rFonts w:ascii="Arial" w:hAnsi="Arial" w:cs="Arial"/>
          <w:color w:val="4F0000"/>
          <w:sz w:val="38"/>
          <w:szCs w:val="38"/>
          <w:lang w:val="en-US"/>
        </w:rPr>
        <w:t>за счет снижения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преступлений средней тяжести на 23,9%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 xml:space="preserve">(с 710 до 540) </w:t>
      </w:r>
      <w:r>
        <w:rPr>
          <w:rFonts w:ascii="Arial" w:hAnsi="Arial" w:cs="Arial"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при </w:t>
      </w:r>
      <w:r>
        <w:rPr>
          <w:rFonts w:ascii="Arial" w:hAnsi="Arial" w:cs="Arial"/>
          <w:b/>
          <w:bCs/>
          <w:color w:val="4F0000"/>
          <w:sz w:val="38"/>
          <w:szCs w:val="38"/>
          <w:u w:val="single"/>
          <w:lang w:val="en-US"/>
        </w:rPr>
        <w:t>росте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 xml:space="preserve">- 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особо тяжких преступлений на 7%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71 до 76),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 xml:space="preserve">- 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тяжких преступлений на 9,9%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345 до 379)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  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преступлений небольшой тяжести на 7,9%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381 до 411)</w:t>
      </w:r>
      <w:r>
        <w:rPr>
          <w:rFonts w:ascii="Arial" w:hAnsi="Arial" w:cs="Arial"/>
          <w:color w:val="4F0000"/>
          <w:sz w:val="38"/>
          <w:szCs w:val="38"/>
          <w:lang w:val="en-US"/>
        </w:rPr>
        <w:t>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 xml:space="preserve">Снизилось 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количество преступлений, совершенных в общественных местах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1067 до 952),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 в том числе, совершенных на улицах, на 10,3%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730 до 655),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 на 16,8% </w:t>
      </w:r>
      <w:r>
        <w:rPr>
          <w:rFonts w:ascii="Arial" w:hAnsi="Arial" w:cs="Arial"/>
          <w:color w:val="4F0000"/>
          <w:sz w:val="38"/>
          <w:szCs w:val="38"/>
          <w:u w:val="single"/>
          <w:lang w:val="en-US"/>
        </w:rPr>
        <w:t xml:space="preserve">снизилось 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количество преступлений, совершенных иногородними гражданами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(со 113 до 94)</w:t>
      </w:r>
      <w:r>
        <w:rPr>
          <w:rFonts w:ascii="Arial" w:hAnsi="Arial" w:cs="Arial"/>
          <w:color w:val="4F0000"/>
          <w:sz w:val="38"/>
          <w:szCs w:val="38"/>
          <w:lang w:val="en-US"/>
        </w:rPr>
        <w:t>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Наряду со снижением количества преступлений, на 9,2% снизилось количество приостановленных уголовных дел и на 6% </w:t>
      </w:r>
      <w:r>
        <w:rPr>
          <w:rFonts w:ascii="Arial" w:hAnsi="Arial" w:cs="Arial"/>
          <w:b/>
          <w:bCs/>
          <w:color w:val="4F0000"/>
          <w:sz w:val="38"/>
          <w:szCs w:val="38"/>
          <w:u w:val="single"/>
          <w:lang w:val="en-US"/>
        </w:rPr>
        <w:t xml:space="preserve">увеличилось </w:t>
      </w:r>
      <w:r>
        <w:rPr>
          <w:rFonts w:ascii="Arial" w:hAnsi="Arial" w:cs="Arial"/>
          <w:color w:val="4F0000"/>
          <w:sz w:val="38"/>
          <w:szCs w:val="38"/>
          <w:lang w:val="en-US"/>
        </w:rPr>
        <w:t>количество уголовных дел, направленных в суд (с 282 до 299). Раскрываемость преступлений в течение 2012 года выросла на 2% и составила 18%  (АППГ – 16%) при среднеокружном показателе 17,8%.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42"/>
          <w:szCs w:val="42"/>
          <w:lang w:val="en-US"/>
        </w:rPr>
        <w:t>Анализ тяжких и особо тяжких преступлений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Анализируя динамику структурных преступлений по сравнению с 2011 годом, </w:t>
      </w:r>
      <w:r>
        <w:rPr>
          <w:rFonts w:ascii="Arial" w:hAnsi="Arial" w:cs="Arial"/>
          <w:b/>
          <w:bCs/>
          <w:color w:val="4F0000"/>
          <w:sz w:val="36"/>
          <w:szCs w:val="36"/>
          <w:u w:val="single"/>
          <w:lang w:val="en-US"/>
        </w:rPr>
        <w:t>отмечается снижение следующих видов преступлений</w:t>
      </w: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: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грабежей  на 1,6%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(со 126 до 124)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общего количества краж на 13,3%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 xml:space="preserve">(с 851 до 738), </w:t>
      </w:r>
      <w:r>
        <w:rPr>
          <w:rFonts w:ascii="Arial" w:hAnsi="Arial" w:cs="Arial"/>
          <w:color w:val="4F0000"/>
          <w:sz w:val="36"/>
          <w:szCs w:val="36"/>
          <w:lang w:val="en-US"/>
        </w:rPr>
        <w:t>в том числе,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- квартирных краж на 2,7%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(с 74 до 72)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транспортных средств на 11,6%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95 до 84)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автомобилей на 6,3%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79 до 74)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- хулиганства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 на 28,6%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(с 7 до 5)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- мошенничества на 6,5%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(со 154 до 144)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неправомерного завладения автотранспортом на 22,2%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9 до 7)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>- преступлений, связанных с незаконным оборотом оружия</w:t>
      </w:r>
      <w:r>
        <w:rPr>
          <w:rFonts w:ascii="Arial" w:hAnsi="Arial" w:cs="Arial"/>
          <w:b/>
          <w:bCs/>
          <w:color w:val="4F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4F0000"/>
          <w:sz w:val="36"/>
          <w:szCs w:val="36"/>
          <w:lang w:val="en-US"/>
        </w:rPr>
        <w:t> </w:t>
      </w:r>
      <w:r>
        <w:rPr>
          <w:rFonts w:ascii="Arial" w:hAnsi="Arial" w:cs="Arial"/>
          <w:color w:val="4F0000"/>
          <w:sz w:val="32"/>
          <w:szCs w:val="32"/>
          <w:lang w:val="en-US"/>
        </w:rPr>
        <w:t xml:space="preserve">на 37,5% </w:t>
      </w:r>
      <w:r>
        <w:rPr>
          <w:rFonts w:ascii="Arial" w:hAnsi="Arial" w:cs="Arial"/>
          <w:i/>
          <w:iCs/>
          <w:color w:val="4F0000"/>
          <w:sz w:val="32"/>
          <w:szCs w:val="32"/>
          <w:lang w:val="en-US"/>
        </w:rPr>
        <w:t>(с 8 до 5)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2"/>
          <w:szCs w:val="32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при росте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разбойных нападений на 65,4%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26 до 43)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умышленного уничтожения имущества путем поджогов на 25% </w:t>
      </w:r>
      <w:r>
        <w:rPr>
          <w:rFonts w:ascii="Arial" w:hAnsi="Arial" w:cs="Arial"/>
          <w:i/>
          <w:iCs/>
          <w:color w:val="4F0000"/>
          <w:sz w:val="32"/>
          <w:szCs w:val="32"/>
          <w:lang w:val="en-US"/>
        </w:rPr>
        <w:t>(с 8 до 10)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преступлений, связанных с незаконным оборотом наркотических веществ на 37,4%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 (с 99 до 136),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- в том числе, связанных со сбытом на 40%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(с 60 до 84)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- угроз убийством на 14,3%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(с 7 до 8)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Количество убийств и преступлений, связанных с 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умышленным причинением тяжкого вреда здоровью осталось на прежнем уровне </w:t>
      </w:r>
      <w:r>
        <w:rPr>
          <w:rFonts w:ascii="Arial" w:hAnsi="Arial" w:cs="Arial"/>
          <w:color w:val="4F0000"/>
          <w:sz w:val="38"/>
          <w:szCs w:val="38"/>
          <w:u w:val="single"/>
          <w:lang w:val="en-US"/>
        </w:rPr>
        <w:t>(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4 и 13 соответственно).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По раскрытию структурных преступлений по сравнению с аналогичным периодом прошлого года можно отметить повышение удельного веса раскрываемости по грабежам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(на 1,5%),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 мошенничеству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(на 9,2%),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 краж транспортных средств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(на 2,2%),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 преступлений, связанных с подделкой документов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(на 19,9%).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6"/>
          <w:szCs w:val="36"/>
          <w:lang w:val="en-US"/>
        </w:rPr>
        <w:t xml:space="preserve">По сравнению с прошлым годом отсутствуют результаты по раскрытию преступлений, связанных с умышленным причинением тяжкого вреда здоровью, снижены результаты работы по раскрытию таких преступлений как убийства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 xml:space="preserve">(на 26,7%), 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разбойные нападения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(на 22,5%),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 квартирные кражи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 xml:space="preserve">(на 4,6%), 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неправомерное завладение автотранспортом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 xml:space="preserve">(на 4,3%), </w:t>
      </w:r>
      <w:r>
        <w:rPr>
          <w:rFonts w:ascii="Arial" w:hAnsi="Arial" w:cs="Arial"/>
          <w:color w:val="4F0000"/>
          <w:sz w:val="36"/>
          <w:szCs w:val="36"/>
          <w:lang w:val="en-US"/>
        </w:rPr>
        <w:t xml:space="preserve">угрозы убийством </w:t>
      </w:r>
      <w:r>
        <w:rPr>
          <w:rFonts w:ascii="Arial" w:hAnsi="Arial" w:cs="Arial"/>
          <w:i/>
          <w:iCs/>
          <w:color w:val="4F0000"/>
          <w:sz w:val="36"/>
          <w:szCs w:val="36"/>
          <w:lang w:val="en-US"/>
        </w:rPr>
        <w:t>(на 22,2%).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По итогам работы за 6 месяцев Отдел подвергался критике со стороны Управления по южному округу в связи с отсутствием результатов по раскрытию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квартирных краж. По итогам 12-ти месяцев, ситуация немного улучшилась: в суд направлено 3 уголовных дела по квартирным кражам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 xml:space="preserve"> (АППГ – 7)</w:t>
      </w:r>
      <w:r>
        <w:rPr>
          <w:rFonts w:ascii="Arial" w:hAnsi="Arial" w:cs="Arial"/>
          <w:color w:val="4F0000"/>
          <w:sz w:val="38"/>
          <w:szCs w:val="38"/>
          <w:lang w:val="en-US"/>
        </w:rPr>
        <w:t>, также сотрудниками отделения уголовного розыска раскрыто 3 квартирные кражи, совершенные в 2011 году, в суд уголовные дела направлены также в 2012 году.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42"/>
          <w:szCs w:val="42"/>
          <w:lang w:val="en-US"/>
        </w:rPr>
        <w:t>Организация работы отделений полиции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42"/>
          <w:szCs w:val="42"/>
          <w:lang w:val="en-US"/>
        </w:rPr>
        <w:t>Отделение уголовного розыска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По штату количество сотрудников отделения уголовного розыска 14 человек, по списку 11, некомплект 4.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 xml:space="preserve">В течение 2012 года за ОУР раскрыто </w:t>
      </w: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81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 преступление 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(АППГ 93)</w:t>
      </w:r>
      <w:r>
        <w:rPr>
          <w:rFonts w:ascii="Arial" w:hAnsi="Arial" w:cs="Arial"/>
          <w:color w:val="4F0000"/>
          <w:sz w:val="38"/>
          <w:szCs w:val="38"/>
          <w:lang w:val="en-US"/>
        </w:rPr>
        <w:t xml:space="preserve">, из них: </w:t>
      </w: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b/>
          <w:bCs/>
          <w:color w:val="4F0000"/>
          <w:sz w:val="38"/>
          <w:szCs w:val="38"/>
          <w:lang w:val="en-US"/>
        </w:rPr>
        <w:t>-</w:t>
      </w:r>
      <w:r>
        <w:rPr>
          <w:rFonts w:ascii="Arial" w:hAnsi="Arial" w:cs="Arial"/>
          <w:color w:val="4F0000"/>
          <w:sz w:val="38"/>
          <w:szCs w:val="38"/>
          <w:lang w:val="en-US"/>
        </w:rPr>
        <w:t>1 убийство 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-5 разбойных нападений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-15 грабежей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-27 краж (в том числе, 3 кражи автотранспортных средств, 1 квартирная),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left="960"/>
        <w:jc w:val="both"/>
        <w:rPr>
          <w:rFonts w:ascii="Arial" w:hAnsi="Arial" w:cs="Arial"/>
          <w:color w:val="4F0000"/>
          <w:lang w:val="en-US"/>
        </w:rPr>
      </w:pPr>
      <w:r>
        <w:rPr>
          <w:rFonts w:ascii="Arial" w:hAnsi="Arial" w:cs="Arial"/>
          <w:color w:val="4F0000"/>
          <w:sz w:val="38"/>
          <w:szCs w:val="38"/>
          <w:lang w:val="en-US"/>
        </w:rPr>
        <w:t>-21 преступление, связанное с незаконным оборотом наркотических веществ, -1 преступление, связанное с незаконным оборотом оружия</w:t>
      </w:r>
      <w:r>
        <w:rPr>
          <w:rFonts w:ascii="Arial" w:hAnsi="Arial" w:cs="Arial"/>
          <w:i/>
          <w:iCs/>
          <w:color w:val="4F0000"/>
          <w:sz w:val="38"/>
          <w:szCs w:val="38"/>
          <w:lang w:val="en-US"/>
        </w:rPr>
        <w:t>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40"/>
        <w:rPr>
          <w:rFonts w:ascii="Verdana" w:hAnsi="Verdana" w:cs="Verdana"/>
          <w:b/>
          <w:bCs/>
          <w:color w:val="4F0000"/>
          <w:spacing w:val="20"/>
          <w:kern w:val="1"/>
          <w:lang w:val="en-US"/>
        </w:rPr>
      </w:pPr>
      <w:r>
        <w:rPr>
          <w:rFonts w:ascii="Verdana" w:hAnsi="Verdana" w:cs="Verdana"/>
          <w:b/>
          <w:bCs/>
          <w:color w:val="4F0000"/>
          <w:spacing w:val="2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40"/>
        <w:rPr>
          <w:rFonts w:ascii="Verdana" w:hAnsi="Verdana" w:cs="Verdana"/>
          <w:b/>
          <w:bCs/>
          <w:color w:val="4F0000"/>
          <w:spacing w:val="20"/>
          <w:kern w:val="1"/>
          <w:lang w:val="en-US"/>
        </w:rPr>
      </w:pPr>
      <w:r>
        <w:rPr>
          <w:rFonts w:ascii="Verdana" w:hAnsi="Verdana" w:cs="Verdana"/>
          <w:b/>
          <w:bCs/>
          <w:color w:val="4F0000"/>
          <w:spacing w:val="20"/>
          <w:kern w:val="1"/>
          <w:sz w:val="42"/>
          <w:szCs w:val="42"/>
          <w:lang w:val="en-US"/>
        </w:rPr>
        <w:t>Отделение  участковых уполномоченных полиции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 штату в отделении участковых уполномоченных полиции 26 человек, некомплект 2 единицы, 1 должность декретная, 1 человек откомандирован.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В течение 2012 года за отделением участковых уполномоченных полиции раскрыто 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>103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преступления  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98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), из них: 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разбойное нападение,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 xml:space="preserve">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3 грабежа,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-51 кража,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квартирная кража,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кража автотранспортного средства,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преступление, связанное с незаконным оборотом наркотических веществ,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-3 преступления, связанных с угрозами убийством,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побои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.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В течение 2012 года отработано 37092 квартиры, что составляет 99,48%, получено 42 заявления об оборудовании квартир охранной сигнализацией, по которым заключено 6 договоров.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Выявлено 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3039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административных правонарушений,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– 8948),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За мелкое хулиганство привлечено к административной ответственности 226 человек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–240)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, за нарушение правил регистрации иностранными гражданами 97 (АППГ 46), за нарушение правил торговли 20 человек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 xml:space="preserve">(АППГ – 8),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за нарушение санитарных норм 189 человек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– 362),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за нарушение антиалкогольного законодательства (ст. 20.20) – 870 человек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3770),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(ст. 20.21) – 736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3960).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Согласно данных ГОРИ на территории обслуживания зарегистрировано 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>2370 лиц ранее судимых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, из них: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158 (кражи авто) – 13 человек (5 не проживают, 1 умер, 1 в местах лишения свободы, отработано по ГОРИ – 6)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158 (кв. кражи) – 86 человек (8 не проживают, 1 – снята судимость, 8 умерло, 4 в местах лишения свободы, 56 отработано по ГОРИ, не отработано 9)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162 – 120 человек (3 не проживает, 4 в местах лишения свободы, 78 отработано по ГОРИ, не отработано 35)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  ст. 161 – 254 человека (2 не проживает, 1 в местах лишения свободы, 174 отработано по ГОРИ, не отработано 76)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 ст. 131, 132 – 28 человек (10 не проживает, 5 в местах лишения свободы, 1 – снята судимость, 8 отработано по ГОРИ, не отработано – 4)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159 – 141 человек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228 – 490 человек (48 не проживает, 14 в местах лишения свободы, 22 умерло, приглашено в ГОРИ 249)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105 – 22 человека (11 на учете в ПНД, 1 не проживает, 4 отработано по ГОРИ, не отработано – 6)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ст. 222-226 – 242 человека (32 снята судимость, 8 не проживает, 3 в местах лишения свободы, 5 умерло, 84 отработано по ГОРИ, не отработано – 110).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Под административным надзором согласно приказа МВД России от 08.07.2011 года № 818 состоит 9 человек (из которых в течение 2012 года поставлено на учет 7) и 58 человек, формально подпадающих под установление административного надзора. Также 10 АСК готовятся к направлению в ЗИЦ ГУ МВД России по г. Москве.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На профилактическом  учете состоит 581 человек, из них: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- 208 ранее судимых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- 2 бытовых дебошира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- 203 злоупотребляющих алкоголем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- 154 наркомана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- 17 социально-опасных психбольных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В течение 2012 года совместно с добровольной народной дружиной осуществлялись совместные мероприятия по охране общественного порядка в период проведения выборов Президента Российской Федерации, религиозных праздников и массовых мероприятий.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На территории района Орехово-Борисово Северное на учете состоит 4052 владельцев оружия, из них нарезного - 347, охотничьего гладкоствольного – 2317,  2114 граждан имеют открытые лицензии на газовое оружие.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В течение 2012 год было принято более 800 заявлений от граждан по поводу продления или приобретения гражданского оружия;  проведена проверка 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>4551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владельца,  из них УУП ОМВД всего 4123 чел.; за нарушение правил хранения, ношения и перерегистрации оружия привлечено к административной ответственности 160 владельцев, УУП – 78. Отделением УУП составлено всего 78 протоколов за административные правонарушения, связанные с правилами хранения, ношения и перерегистрации.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Группой по лицензионно-разрешительной работе было проверено более 400 владельцев, из них нарушивших сроки перерегистрации 82, составлено 82 административных протокола.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center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center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color w:val="4F0000"/>
          <w:kern w:val="1"/>
          <w:sz w:val="42"/>
          <w:szCs w:val="42"/>
          <w:lang w:val="en-US"/>
        </w:rPr>
        <w:t>Отдельная рота патрульно-постовой службы полиции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 штату в отдельной роте ППСП 57 человек, из них: некомплект 3 человека (инспектор ОР ППСП, 2 полицейских ОР ППСП), откомандировано 2, в декрете 1, фактически работают 49.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В течение 2012 года за отдельной ротой ППСП раскрыто 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70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преступлений, 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43)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, в том числе: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убийство,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 разбойное нападение,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-9 грабежей,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-17 краж,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-4 преступления, связанных с угрозами убийством,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left="74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-29 преступлений, связанных с незаконным оборотом наркотических веществ, -1 угон.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В течение 2012 года сотрудниками отдельной роты ППСП выявлено 1722 административных правонарушения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3384).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За мелкое хулиганство привлечено к административной ответственности 86 человек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 xml:space="preserve"> (АППГ 76).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За нарушение антиалкогольного законодательства составлено 1182 протокола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 xml:space="preserve"> (АППГ – 2877).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i/>
          <w:iCs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center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color w:val="4F0000"/>
          <w:kern w:val="1"/>
          <w:sz w:val="42"/>
          <w:szCs w:val="42"/>
          <w:lang w:val="en-US"/>
        </w:rPr>
        <w:t>Следственное отделение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 штату количество следователей Отдела 9 человек, некомплекта нет, фактически работают 7, 2 следователя откомандировано, 1 человек проходит первоначальную подготовку.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  Всего в течение 2012 года в производстве следственного отделения находилось 984 уголовных дела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962),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из них расследовано 925 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872)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. Нагрузка на 1 следователя по уголовным делам, находящимся в производстве, составила 109,3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106,9).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Направлено в суд  64 уголовных дела, за аналогичный период прошлого года 71. По направленным в суд нагрузка на 1 следователя составляет 7,1;  за аналогичный период прошлого года 7,9.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6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4F0000"/>
          <w:spacing w:val="20"/>
          <w:kern w:val="1"/>
          <w:lang w:val="en-US"/>
        </w:rPr>
      </w:pPr>
      <w:r>
        <w:rPr>
          <w:rFonts w:ascii="Verdana" w:hAnsi="Verdana" w:cs="Verdana"/>
          <w:b/>
          <w:bCs/>
          <w:color w:val="4F0000"/>
          <w:spacing w:val="20"/>
          <w:kern w:val="1"/>
          <w:sz w:val="42"/>
          <w:szCs w:val="42"/>
          <w:lang w:val="en-US"/>
        </w:rPr>
        <w:t>Отделение дознания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 штату в отделении дознания 9 человек, некомплекта нет, в декрете 3 человека, фактически работают 6.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В течение 12-ти месяцев 2012 года отделением дознания принято к производству 481 уголовное дело, за 2011 год – 521. Нагрузка на одного дознавателя по находящимся в производстве уголовным делам составляет 53,4 при среднеокружном показателе 77,2.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Направлено в суд 130 уголовных дел, за аналогичный период прошлого года – 132. По направленным в суд уголовным делам нагрузка на 1 дознавателя составляет 14,4 уголовных дел при среднеокружном показателе 11,0.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4F0000"/>
          <w:spacing w:val="20"/>
          <w:kern w:val="1"/>
          <w:lang w:val="en-US"/>
        </w:rPr>
      </w:pPr>
      <w:r>
        <w:rPr>
          <w:rFonts w:ascii="Verdana" w:hAnsi="Verdana" w:cs="Verdana"/>
          <w:b/>
          <w:bCs/>
          <w:color w:val="4F0000"/>
          <w:spacing w:val="2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4F0000"/>
          <w:spacing w:val="20"/>
          <w:kern w:val="1"/>
          <w:lang w:val="en-US"/>
        </w:rPr>
      </w:pPr>
      <w:r>
        <w:rPr>
          <w:rFonts w:ascii="Verdana" w:hAnsi="Verdana" w:cs="Verdana"/>
          <w:b/>
          <w:bCs/>
          <w:color w:val="4F0000"/>
          <w:spacing w:val="20"/>
          <w:kern w:val="1"/>
          <w:sz w:val="42"/>
          <w:szCs w:val="42"/>
          <w:lang w:val="en-US"/>
        </w:rPr>
        <w:t>Отделение по делам несовершеннолетних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 штату в отделении по делам несовершеннолетних 4 человека, некомплект – 1 единица,  3 в декрете, в наличии 2 инспектора, работающих на декретных должностях.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 В течение 2012 года службой ОДН раскрыто 2 преступления, за 2011 год – аналогично; направлено 4 материала о лишении родительских прав,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 xml:space="preserve">(АППГ 11),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на профилактический учет поставлен 57 несовершеннолетних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60)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и 29 родителей, ненадлежащим образом исполняющих родительские обязанности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 xml:space="preserve"> (АППГ  42).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Всего по состоянию на 1 января 2013 года на профилактическом учете в ОДН состоит: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- 57 несовершеннолетних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60),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из них в режиме УПД (осужденные) – 2 подростка, 55 в режиме УПК (за совершение ООД)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- 41 неблагополучный родитель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40)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В ЦВСН ГУ МВД России по г. Москве помещено 12 подростков </w:t>
      </w:r>
      <w:r>
        <w:rPr>
          <w:rFonts w:ascii="Arial" w:hAnsi="Arial" w:cs="Arial"/>
          <w:i/>
          <w:iCs/>
          <w:color w:val="4F0000"/>
          <w:kern w:val="1"/>
          <w:sz w:val="38"/>
          <w:szCs w:val="38"/>
          <w:lang w:val="en-US"/>
        </w:rPr>
        <w:t>(АППГ 13).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i/>
          <w:iCs/>
          <w:color w:val="AB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color w:val="4F0000"/>
          <w:kern w:val="1"/>
          <w:sz w:val="42"/>
          <w:szCs w:val="42"/>
          <w:lang w:val="en-US"/>
        </w:rPr>
        <w:t>Основные задачи и приоритетные направления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         В целях повышения эффективности оперативно-служебной деятельности Отдела в 2013 году  необходимо: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>1.</w:t>
      </w:r>
      <w:r>
        <w:rPr>
          <w:rFonts w:ascii="Times New Roman" w:hAnsi="Times New Roman" w:cs="Times New Roman"/>
          <w:color w:val="4F0000"/>
          <w:kern w:val="1"/>
          <w:sz w:val="18"/>
          <w:szCs w:val="18"/>
          <w:lang w:val="en-US"/>
        </w:rPr>
        <w:t xml:space="preserve">               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Особое внимание уделить организации работы по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раскрытию и расследованию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тяжких и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особо тяжких преступлений; в т.ч.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 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преступлений общеуголовной направленности, и такие структурные преступления как кражи, грабежи, разбойные нападения, кражи из квартир, кражи транспортных средств, хищения имущества из автомашин граждан.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>2.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 xml:space="preserve"> </w:t>
      </w: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>  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Уделить особое внимание организации работы по профилактике, пресечению и раскрытию преступлений, совершаемых на улицах и в иных общественных местах района, а также организации надлежащего контроля за работой нарядов, задействованных в системе единой дислокации, по раскрытию и профилактике преступлений.</w:t>
      </w:r>
    </w:p>
    <w:p w:rsidR="00E10175" w:rsidRDefault="00E10175" w:rsidP="00E1017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b/>
          <w:bCs/>
          <w:color w:val="4F0000"/>
          <w:kern w:val="1"/>
          <w:sz w:val="38"/>
          <w:szCs w:val="38"/>
          <w:lang w:val="en-US"/>
        </w:rPr>
        <w:t xml:space="preserve">3.   </w:t>
      </w: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На постоянной основе проводить мероприятия по обеспечению антитеррористической устойчивости объектов повышенной опасности и мест массового пребывания граждан.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 </w:t>
      </w:r>
    </w:p>
    <w:p w:rsidR="00E10175" w:rsidRDefault="00E10175" w:rsidP="00E10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kern w:val="1"/>
          <w:lang w:val="en-US"/>
        </w:rPr>
      </w:pPr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Начальник Отдела</w:t>
      </w:r>
    </w:p>
    <w:p w:rsidR="009C473A" w:rsidRDefault="00E10175" w:rsidP="00E10175">
      <w:r>
        <w:rPr>
          <w:rFonts w:ascii="Arial" w:hAnsi="Arial" w:cs="Arial"/>
          <w:color w:val="4F0000"/>
          <w:kern w:val="1"/>
          <w:sz w:val="38"/>
          <w:szCs w:val="38"/>
          <w:lang w:val="en-US"/>
        </w:rPr>
        <w:t>подполковник полиции                                                                          С.Ю. Томахин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75"/>
    <w:rsid w:val="009C473A"/>
    <w:rsid w:val="00E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1981</Words>
  <Characters>11294</Characters>
  <Application>Microsoft Macintosh Word</Application>
  <DocSecurity>0</DocSecurity>
  <Lines>94</Lines>
  <Paragraphs>26</Paragraphs>
  <ScaleCrop>false</ScaleCrop>
  <Company/>
  <LinksUpToDate>false</LinksUpToDate>
  <CharactersWithSpaces>13249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2013-03-20T17:05:00Z</dcterms:created>
  <dcterms:modified xsi:type="dcterms:W3CDTF">2013-03-20T17:05:00Z</dcterms:modified>
</cp:coreProperties>
</file>