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050" w:rsidRDefault="001A1050" w:rsidP="001A1050">
      <w:pPr>
        <w:widowControl w:val="0"/>
        <w:autoSpaceDE w:val="0"/>
        <w:autoSpaceDN w:val="0"/>
        <w:adjustRightInd w:val="0"/>
        <w:rPr>
          <w:rFonts w:ascii="Arial" w:hAnsi="Arial" w:cs="Arial"/>
          <w:b/>
          <w:bCs/>
          <w:color w:val="1D1D1D"/>
          <w:sz w:val="44"/>
          <w:szCs w:val="44"/>
          <w:lang w:val="en-US"/>
        </w:rPr>
      </w:pPr>
      <w:r>
        <w:rPr>
          <w:rFonts w:ascii="Arial" w:hAnsi="Arial" w:cs="Arial"/>
          <w:b/>
          <w:bCs/>
          <w:color w:val="1D1D1D"/>
          <w:sz w:val="44"/>
          <w:szCs w:val="44"/>
          <w:lang w:val="en-US"/>
        </w:rPr>
        <w:t>Отчет руководства</w:t>
      </w:r>
    </w:p>
    <w:p w:rsidR="001A1050" w:rsidRDefault="001A1050" w:rsidP="001A1050">
      <w:pPr>
        <w:widowControl w:val="0"/>
        <w:autoSpaceDE w:val="0"/>
        <w:autoSpaceDN w:val="0"/>
        <w:adjustRightInd w:val="0"/>
        <w:jc w:val="center"/>
        <w:rPr>
          <w:rFonts w:ascii="Arial" w:hAnsi="Arial" w:cs="Arial"/>
          <w:lang w:val="en-US"/>
        </w:rPr>
      </w:pPr>
      <w:r>
        <w:rPr>
          <w:rFonts w:ascii="Arial" w:hAnsi="Arial" w:cs="Arial"/>
          <w:b/>
          <w:bCs/>
          <w:lang w:val="en-US"/>
        </w:rPr>
        <w:t>Отчет перед населением по охране общественного порядка и борьбе с преступностью за 2012 год</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Свою деятельность Отдел строит на выполнении требований Комплексного плана организационно-практических и оперативно-профилактических мероприятий по улучшению работы отдела. За 2012г. все запланированные мероприятия выполнены.</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Для более детального анализа положения дел, оценки деятельности руководителей и оперативной выработки обоснованных управленческих решений введено в практику еженедельное заслушивание руководителей служб, в настоящее время они поставлены в такие условия, что должны ежедневно обеспечивать результативную работу вверенных служб и подразделений.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Принимались меры по укреплению учётно-регистрационной дисциплины.</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Обеспечен контроль за качеством реагирования на сигналы, поступающие по каналам службы «02». В течение 2012 перепроверено 145 таких сообщения.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целях пресечения волокиты принципиальным считаем вопрос сокращения сроков предварительной проверки по заявлениям и сообщениям о преступлениях. Руководителям служб поставлена задача возбуждать максимальное количество уголовных дел в день регистрации.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Особое значение в 2012г. было уделено совершенствованию работы по предотвращению террористических актов и проявлений экстримизма. Сейчас уже можно с полной ответственностью утверждать, что деятельность по предупреждению террористических актов перешла из стадии кампании и всеобщего «аврала» в стадию повседневной работы. И это, безусловно, положительный факт. Он говорит не о снижении усилий и о свертывании данной работы и взаимодействия всех заинтересованных служб, а о том, что накоплен необходимый опыт, наработаны соответствующие механизмы, позволяющие достигать того же эффекта путем применения оптимальных усилий, без задействования всех имеющихся ресурсов, без перевода личного состава на усиленный вариант несения службы, в результате чего антитеррористическая деятельность осуществляется без ущерба для обеспечения общественного порядка и борьбы с преступностью.</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Естественно – стопроцентной гарантии безопасности не существует, как не существует стопроцентной гарантии вообще чего-либо, однако в пределах разумной достаточности все необходимое сделано и делается.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Одним из приоритетных направлений в стабилизации оперативной обстановки в последующий период 2012г. является усиление профилактической работы. Профилактическая работа должна первочередно должна включать в себя выявление правонарушений со стороны граждан, проведение профилактической работы среди несовершеннолетних, повышение авторитета инспекторов ОДН, ст. о/у по линии работы с несовершеннолетними с привлечением представителей ОПОП, а также педагогическим составом учебных заведений расположенных в зоне оперативного обслуживания ОМВД. Профилактические беседы должны носить характер о недопустимости совершения преступлений, включать в себя разъяснением с ссылками на соответствующие диспозиции действующего законодательства уголовной ответственности за участие, о сохранении личного достоинства, о самосознании себя как личности являющейся полноправным членом общества без отягощения своей психики ложными принципами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xml:space="preserve">Существенную роль должен сыграть запрет на реализацию алкогольной продукции в ночное время, Вклад в профилактику должен вносится и службой </w:t>
      </w:r>
      <w:r>
        <w:rPr>
          <w:rFonts w:ascii="Arial" w:hAnsi="Arial" w:cs="Arial"/>
          <w:lang w:val="en-US"/>
        </w:rPr>
        <w:lastRenderedPageBreak/>
        <w:t>ОУУП ОМВД, в части касающейся постановке на профилактический учет граждан, проведение беседы об уголовной ответственности за совершение преступлений. Должна быть усилена профилактическую работу с владельцами транспортных средств, старшими по подъездам, консьержами, Под жесткий контроль необходимо взять обеспечение проведение осмотров мест совершения преступлений, По уголовным делам незамедлительно назначать проведение криминалистических исследований и судебных экспертиз. Уголовные дела о преступлениях указанной категории возбуждать в течение дежурных суток с момента регистрации заявления (сообщения). В обязательном порядке обеспечить наличие во всех уголовных делах совместных планов следственных действий и оперативно-розыскных мероприятий, указаний руководителей органов дознания, согласно требованиям главы 16 приказа МВД России от 20.09.1994г. № 260дсп, с изменениями, внесёнными приказом МВД России от 06.08.2007г. № 697, а также указаний руководителей процессуальных подразделений согласно УПК РФ. К материалам уголовных дел в качестве вещественных доказательств необходимо приобщать CD-диски с архивными записями СОБГ, а также справки о проведённых мероприятиях по оперативному отождествлению личности предполагаемых преступников с использованием АИСП «СОВА» и АСОПИ «Фигурант».</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части касающейся профилактики уличной преступности есть необходимость приблизить маршруты патрулирования к участкам района наиболее подверженным совершению преступлений. Также не последнюю роль должна занимать профилактика силами ОУУП, более тесное взаимодействие с ОПОП и НД. В пределах компетенции сотрудников ОУР необходимо через агентурную сеть также провести профилактическую работу направленную на выявление, раскрытие, а также снижения количества совершаемых преступлений. Учитывая также что уличные преступления зачастую совершаются иностранными гражданами, то необходимо совместно с УФМС (по согласованию) проводить рейды направленные на выявление иностранных граждан незаконно проживающих на территории РФ и их последующее выдворение. В течении 2012г. выдворено 3 нелегальных мигранта за территорию РФ, а по состоянию на 05.02.2013г. за пределы РФ выдворено 8 нелегальных мигрантов. Усиление работы а данном направлении оперативно-служебной деятельности является одной из приоритетных задач Отдела в 2013г. В 2012г. иностранцами по статистическим данным ИЦ УВД по ЗАО совершено 19 преступлений, установлено и обезврежено 5 этнических групп совершавших преступления корыстного и насильственного характера. В январе 2013г. уже имеет место факт совершения тяжкого преступления иностранцем.</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целях стабилизации оперативной обстановки необходимо продолжить организацию работы по выявлению и раскрытию преступлений, в том числе тяжких и особо тяжких, окончанию и направлению в суд уголовных дел. Профилактическая работа как было указано выше должна быть усилена со стороны всех служб отдела в пределах предоставленных полномочий. Отдельно необходимо заметить об усилении взаимодействия с ОПОП и НД в части профилактики преступлений и правонарушений.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Краткая характеристика оперативной обстановки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Зарегистрировано всего преступлений - 946 (АППГ – 897), +49 или 5.5,%), что составляет 5,3 % от общего количества зарегистрированных на территории округа в отчетном периоде преступлений.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тяжких и особо тяжких - 266 (АППГ - 236, +30 или 12,7%)</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общеуголовной направленности - 859 (АППГ - 872, -13 или -1,5%)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особо тяжких и тяжких общеуголовной направленности - 250 (АППГ - 1216, +34 или 15,7%)</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Раскрыто преступлений - 409 (АППГ -333 +76 или 22.8%),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тяжких и особо тяжких - 105 (АППГ - 75, +30 или 40%)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общеуголовной направленности – 308 (АППГ - 319, -11 или -3.4%)</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особо тяжких и тяжких общеуголовной направленности - 78 (АППГ -63, + 15 или 23.8%)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Совершено преступлений: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общественных местах - 487 (АППГ - 470, или +17 или 3.6%)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 улице - 367 (АППГ - 379 -12 или – 9 или -3,2%)</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Общая раскрываемость – 43,18% (АППГ – 38,49%)</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тяжких и особо тяжких – 39,92% (АППГ – 35,21%)</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Оценка деятельности Отдела за 12 месяцев 2012г. составила – 2059,91 баллов, что является положительной оценкой.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Несмотря на все статистические данные отражающие положительные результаты деятельности Отдела, первоочередной задачей Отдела является добиться снижение до минимума преступности, обеспечить жителям и гостям района безопасное нахождение на улицах, в общественных местах, а также дома.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ДИНАМИКА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произошла положительная динамика по сравнению с АППГ по таким направлениям оперативно-служебной деятельности: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преступлений небольшой тяжести – 0.3%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умышленного причинения тяжкого вреда здоровью со смертью на 33.3%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краж транспортных средств – 25.3%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краж автомобилей – 20.5%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грабежей –12,2%</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неправомерных завладений автотранспортом – 61,3%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хулиганств – 25%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незаконного хранения оружия – 100%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преступлений связанных с НОН – 11.5%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снижение числа преступлений связанных с НОН сбыт – 3.6%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рост числа преступлений совершенных на улице – 3,2%</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рост числа преступлений направленных в суд – 22.8%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 уровне АППГ</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Число умышленного причинения тяжкого вреда здоровью – 10 на 100 т.е. 100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число мошенничеств – 61 на 61, т.е. 100%.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Проблемные вопросы.</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По итогам 12 месяцев 2012г. наиболее проблемными вопросами в оперативно-служебной деятельности Отдела являются кражи транспортных средств - 65, (АППГ - 87), направлено в суд – 5 (АППГ - 8), приостановлено – 58 (АППГ – 77) кражи автомобилей –62 (АППГ – 78), направлено в суд – 3 (АППГ – 7), приостановлено – 57 (АППГ – 69), квартирные кражи - 55 (АППГ - 45), направлено в суд – 6 (АППГ - 7), приостановлено – 50 (АППГ – 38).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Несмотря на снижение цифр по сравнению с АППГ вопрос краж автотранспорта и автомобилей продолжает оставаться актуальным. С целью улучшения ситуации в октябре 2012г. было внесено предложение в адрес УВД по ЗАО ГУ МВД России по г.Москве о установке постов ГИБДД на протяженности Боровского шоссе в сторону области. Размещение указанных постов должно сыграть не последнюю роль в снижение числа краж автотранспорта, поспособствовать раскрываемости указанных преступлений.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части касающейся квартирных краж, силами служб Отдела проводится постоянная профилактическая работа, сотрудниками ОУР ведутся оперативные мероприятия.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Участие службы в раскрытие преступлений.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Отделение уголовного розыска: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отчетный период сотрудниками ОУР раскрыто 128 преступлений Направлено в суд – 116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Тяжких, особо тяжких составов – 43 (АППГ – 31 или +12 или 38.7%.) Направлено в суд 38 (АППГ – 25 или +13, 52.08%,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Отделение участковых уполномоченных полиции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Отделением участковых уполномоченных полиции за отчетный период раскрыто 104 (АППГ – 99 или +5 или 19,8%), направлено в суд 92 (АППГ – 81 или +11 или 13.6%),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Для обеспечения безопасности жилого сектора, квартир граждан, недопущения проникновения посторонних в подъезды жилых домов УУА проделана определенная работа. Всего на территории района расположено 33670 квартир. Силами УУП по состоянию за 12 месяцев 2012г. отработано 30154 квартир, т.е.97, %</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ОМВД состоит на учете 120 человек, формально попадающие под осуществление административного надзора (выставлены в ЗИЦ ГУ МВД по России по г. Москве ) Из них 13 человек совершили 13 административных правонарушения.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По состоянию на 31.12.2012г. административный надзор установлен в отношении 10 человек (8 – по инициативе ОМВД, 2 – по инициативе ИК )</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1.Педофилы – 4</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2.Злостный нарушитель – 2</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3.Особо опасный рецидив – 1</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4.Адм. правонарушения – 13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5.Опасныйрецидив -1</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 профилактическом учете состоит всего 456 человек. Условно осужденные – 160. Ранее судимые – 185, из них за совершение квартирных краж – 12, за совершение грабежей – 31, за совершение разбоев – 20, за кражи и угоны автотранспорта – 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Алкоголики – 15;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Бытовые хулиганы – 26;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Наркоманы – 33;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ПНД соц. Опасные – 25;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Болельщики – 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Участники общественно-политических мероприятий – 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Нарушители при проведении спортивных массовых мероприятий - 1</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Проститутки – 1.</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ППСП:</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ППСП раскрыто – 42 преступления (АППГ – 47 или - 5, - 10.6%), в суд направлено – 38, (АППГ – 38 или – 100%), Раскрыто совершенных в общественных местах 35 (АППГ – 36 или – 1, 2,8%), направлено в суд – 31 (АППГ – 27 или +4 или 14,8%)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По профилактике административных правонарушений за 12 месяцев сотрудниками ППСП было доставлено за различные виды правонарушений свыше 600 граждан из которых было составлено 418 административных протокола.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Административная практика: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Всего за отчетный период было составлено 2338 протоколов за совершение административных правонарушений (АППГ - 3608). Всего наложено штрафов 649170 рублей (АППГ – 1270013)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взыскано штрафов 523670 рублей 80,7 % (АППГ 1010613– 79,6%).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Из них</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УУП – 1330 протоколов (АППГ – 2070),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наложено штрафов 393 070 рублей (АППГ – 797 613)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взыскано штрафов 368 870 рублей 93,8% (АППГ – 770 513 - 96,6%),</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ОПДН – 83 протоколов (АППГ – 157),</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наложено штрафов 15500 рублей (АППГ – 11 600)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взыскано штрафов 15500 рублей 100% (АППГ – 11 600 - 100%),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ГЛЛР – 118 (АППГ – 108),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наложено штрафов 47 000 рублей (АППГ – 49 400)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взыскано штрафов 40 000 рублей 85,1% (АППГ – 49 400 - 100%),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за сотрудниками роты ППСП -526 (АППГ-839)</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наложено штрафов 156 000 рублей (АППГ – 297 000)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взыскано штрафов 73 300 рублей 47% (АППГ – 128 500 - 43,2 %),</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несоблюдение ограничений и невыполнение обязанностей, устанавливаемых при административном надзоре ст. 19.24 – 13 (АППГ – 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нарушение законодательства, направленного на снижение уровня алкоголизации населения ст. ст. 20.20, 20.21, 20.22 – 1483 (АППГ – 2153)</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мелкое хулиганство – 301 (АППГ - 498)</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нарушение правил торговли ст. 11.13 Закон города Москвы – 41 (АППГ-109)</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правонарушения в области предприн. деятельности – 6 (АППГ-4)</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нарушение правил содержания животных ст. 5.1 Закон города Москвы – 7 (АППГ – 15)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нарушение экологического законодательства – 18 (АППГ – 25)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нарушение режима пребывания иностранных граждан по ст. ст. 18.8, 18.9 – 48 (АППГ -91) в том числе решение штраф с выдворением 3 (0).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проживание и допущение проживания граждан без регистрации по ст. 19.15 -43 (АППГ – 157)</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правонарушения в лицензионно разрешительной сфере ст. ст. 20.11, 20.8, 20.16 -243 (АППГ – 265)</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Составлено протоколов по ст. 20.25 КоАП – 10 (АППГ -62)</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Отделение по делам несовершеннолетних:</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на учёт в ОДН ОМВД поставлено - 29 несовершеннолетних, их них женского пола - 8, до 14 лет - 14, их них женского пола - 1. Снято с учёта - 41, из них женского пола - 6. Всего на конец отчетного периода на учёте состоит - 48 несовершеннолетних из них - 19 несовершеннолетних женского пола.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на учёт в ОДН ОМВД поставлено - 17 неблагополучных родителей, снято с учёта – 24. Всего состоит на учёте - 33, из них - 3 дети которых состоят на учете. Составлено 83 протокола (АППГ – 157), наложено штрафов на 15500 рублей.(АППГ – 11 600). Все штрафы взысканы. За истекший период 2012г. сотрудниками ОДН раскрыто - 3 преступления.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Доставлено - 250 несовершеннолетних, из них за бродяжничество -31. Помещено в ЦВИНП - 4 несовершеннолетних, в медицинские учреждения -27 несовершеннолетних, Канатчиков – 1 ребенок, 1- родитель несовершеннолетних ГКУ. Конатчиково : детей – 3, родителей – 2 суд отказал в помещении.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Нагрузка составила – 0,80.</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Группа лицензионно-разрешительной работы</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на учете состоит - 2578 владельцев охотничьего гладкоствольного оружия, из них - 89 владельцев имеют просроченные разрешения;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- 1731 владелец гражданского оружия самообороны, из них - 88 владельцев имеют просроченные лицензии;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изъято и добровольно сдано - 18 единиц гладкоствольного огнестрельного и - 84 единицы газового оружия, 4 единицы огнестрельного оружия с нарезным стволом. Составлено - 118 административных протоколов (АППГ - 108), наложено штрафов на сумму не выисканные штрафы отсутствуют.</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принято - 2168 заявлений, выдано -53 справки о прохождении обязательной государственной дактилоскопической регистрации лицам претендующим на должность частного охранника или лица занимающего частной детективной деятельностью.</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Списано в архив - 172 наблюдательных дела.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Выписано – 22 уведомления в комиссионный магазин для продажи оружия.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- 2 владельца имеют лицензию на коллекционирование оружия.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 учете в ЗИЦ поставлено как утраченное - 35 единиц газового оружия, 4 единицы гладкоствольного оружия с нарезным стволом, 27 единиц гладкоствольного оружия.</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На территории района состоит на учете - 191 объекта охраняемых ЧОП (СБ) зарегистрированных в УВД других регионов. На объектах проведено - 175 проверок, выявлено - 18 нарушений законодательства, виновные лица привлечены к административной ответственности.</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Дежурная часть:</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 12 месяцев 2012г. в КУСП ОМВД зарегистрировано 13427 сообщения, из них о преступлениях 3683. Раскрыто по горячим следам 24 преступлений. Доставлено в ДЧ ОМВД 2292 человек из них по подозрению в совершении преступления – 358, из них задержано по ст. 91 УПК РФ – 39 человека. За совершение административных правонарушений – 1806 человека, по иным основаниям – 196 человек.</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Средняя суточная нагрузка на 1-го оперативного дежурного составляет:</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по доставленным лицам - 12 человек</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по отработке сообщений о преступлениях - 17 сообщений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Одним из критериев оценки деятельности Отдела при взаимодействии с органами местного самоуправления является работа по рассмотрению обращений граждан, представителей различных органов власти представительных органов, общественных объединений, организаций. За истекший период 2012г. обращения которые могли бы вызвать повышенный интерес общественности или резонанс в Отделе не зафиксировано. Все обращения поступавшие в Отдел в 2012г. носили характер в некоторой степени обывательский и разрешение которых входило полностью или частично в компетенцию Отдела.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настоящее время и за истекший период 2012г. состояние работы Отдела по взаимодействию с государственными и муниципальными органами находилось и находится на должном уровне.</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Заключительная часть</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В целях стабилизации оперативной обстановки необходимо продолжить организацию работы по выявлению и раскрытию преступлений, в том числе тяжких и особо тяжких, окончанию и направлению в суд уголовных дел. Профилактическая работа как было указано выше должна быть усилена со стороны всех служб отдела в пределах предоставленных полномочий. Отдельно необходимо заместить об усилении взаимодействия с ОПОП и НД в части профилактики преступлений и правонарушений.</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Необходимо активизировать работу по сокращению остатка уголовных дел, приостановленных на основании п.п. 3, 4 ч. 1 ст. 208 УПК РФ.</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Одно из приоритетных направлений обеспечение постоянного взаимодействия с Солнцевской МРП г. Москвы по вопросам своевременного предъявления обвинения и направления уголовных дел в суд.</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Обеспечение своевременного предоставления документов первичного учёта в ИЦ УВД по ЗАО ГУ МВД России по г. Москве по уголовным делам, сроки расследования которых истекли, либо истекают также одно из составляющих нормального функционирования Отдела.</w:t>
      </w:r>
    </w:p>
    <w:p w:rsidR="001A1050" w:rsidRDefault="001A1050" w:rsidP="001A1050">
      <w:pPr>
        <w:widowControl w:val="0"/>
        <w:autoSpaceDE w:val="0"/>
        <w:autoSpaceDN w:val="0"/>
        <w:adjustRightInd w:val="0"/>
        <w:ind w:firstLine="940"/>
        <w:jc w:val="both"/>
        <w:rPr>
          <w:rFonts w:ascii="Arial" w:hAnsi="Arial" w:cs="Arial"/>
          <w:lang w:val="en-US"/>
        </w:rPr>
      </w:pPr>
      <w:r>
        <w:rPr>
          <w:rFonts w:ascii="Arial" w:hAnsi="Arial" w:cs="Arial"/>
          <w:lang w:val="en-US"/>
        </w:rPr>
        <w:t>Задачи на предстоящий период</w:t>
      </w:r>
    </w:p>
    <w:p w:rsidR="009C473A" w:rsidRDefault="001A1050" w:rsidP="001A1050">
      <w:r>
        <w:rPr>
          <w:rFonts w:ascii="Arial" w:hAnsi="Arial" w:cs="Arial"/>
          <w:lang w:val="en-US"/>
        </w:rPr>
        <w:t>С учетом изложенного, в целях дальнейшего совершенствования организации работы и повышения эффективности оперативно-служебной деятельности Отдела МВД России по району Ново-Переделкино г.Москвы в соответствии с требованиями Директивы Министерства внутренних дел «О приоритетных направлениях деятельности органов внутренних дел Российской Федерации и внутренних войск МВД России в 2013 году» от 31.10.12г. № 2дсп,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прошлый период, приоритетными направлениями деятельности Отдела МВД России по району Ново-Переделкино г.Москвы в 2013 году считать:  - повышение открытости деятельности и уровня взаимодействия с гражданским обществом, укрепление доверия общества, граждан к органам внутренних дел;  - повышение эффективности обеспечения охраны общественного порядка и общественной безопасности, усиления борьбы с преступностью в условиях реформирования на основе модернизации их организационно-штатного построения;  - оптимизация управленческой деятельности, совершенствование нормативно-правового регулирования сферы внутренних дел и системы правового информирования;  - соблюдение установленного порядка приема, регистрации и разрешения заявлений, сообщений и иной информации о происшествиях, укрепление учетно-регистрационной дисциплины;  - повышение уровня требований к критериям отбора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сотрудников органов внутренних дел в обществе;  - усиление противодействия организованной преступности, улучшение прогнозирования оперативной обстановки в данной сфере, своевременное реагирование на ее изменение;  - повышение эффективности процессуального контроля за расследованием преступлений, улучшение качества предварительного следствия и дознания, сокращение сроков расследования уголовных дел;  - активизация профилактической, в том числе воспитательной, пропагандистской работы по предупреждению экстремистской деятельности, ее информационно-аналитическое обеспечение, укрепление оперативных позиций в среде общественных и религиозных объединений, распространяющих идеи национальной розни и религиозного экстремизма;  - применение инновационных средств, систем и технологий в целях профилактики преступлений, повышение качества и доступности оказания государственных услуг в электронном виде;  - совершенствование противодействия преступности в сфере экономики и борьбы с коррупцией, создание условий для устранения экономических основ криминального бизнеса; активизация борьбы с хищениями и нецелевым использованием бюджетных денежных средств, противоправным переделом собственности;  - оздоровление криминогенной обстановки на улицах и в других общественных местах посредством профилактики преступлений и правонарушений;  - совершенствование форм и методов работы по профилактике дорожно-транспортного травматизма, повышение эффективности взаимодействия с другими субъектами реализации государственной политики в этой сфере.  - борьба с терроризмом и проявлениями экстремизма;</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050"/>
    <w:rsid w:val="001A105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3226</Words>
  <Characters>18394</Characters>
  <Application>Microsoft Macintosh Word</Application>
  <DocSecurity>0</DocSecurity>
  <Lines>153</Lines>
  <Paragraphs>43</Paragraphs>
  <ScaleCrop>false</ScaleCrop>
  <Company/>
  <LinksUpToDate>false</LinksUpToDate>
  <CharactersWithSpaces>21577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2013-03-17T21:04:00Z</dcterms:created>
  <dcterms:modified xsi:type="dcterms:W3CDTF">2013-03-17T21:04:00Z</dcterms:modified>
</cp:coreProperties>
</file>