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9C" w:rsidRPr="0021739C" w:rsidRDefault="0021739C" w:rsidP="0021739C">
      <w:pPr>
        <w:shd w:val="clear" w:color="auto" w:fill="FFFFFF"/>
        <w:outlineLvl w:val="0"/>
        <w:rPr>
          <w:rFonts w:ascii="Arial" w:eastAsia="Times New Roman" w:hAnsi="Arial" w:cs="Arial"/>
          <w:color w:val="000000"/>
          <w:kern w:val="36"/>
          <w:sz w:val="30"/>
          <w:szCs w:val="30"/>
          <w:lang w:val="ru-RU"/>
        </w:rPr>
      </w:pPr>
      <w:r w:rsidRPr="0021739C">
        <w:rPr>
          <w:rFonts w:ascii="Arial" w:eastAsia="Times New Roman" w:hAnsi="Arial" w:cs="Arial"/>
          <w:color w:val="000000"/>
          <w:kern w:val="36"/>
          <w:sz w:val="30"/>
          <w:szCs w:val="30"/>
          <w:lang w:val="ru-RU"/>
        </w:rPr>
        <w:t>Отчет начальника ОМВД России по району Люблино</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ОТЧЕТ</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 </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Начальника Отдела МВД России по району Люблино г. Москвы перед населением района Люблино г. Москвы </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 </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по вопросу «Об итогах оперативно-служебной</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деятельности служб Отдела МВД России</w:t>
      </w:r>
    </w:p>
    <w:p w:rsidR="0021739C" w:rsidRPr="0021739C" w:rsidRDefault="0021739C" w:rsidP="0021739C">
      <w:pPr>
        <w:shd w:val="clear" w:color="auto" w:fill="FFFFFF"/>
        <w:spacing w:before="150" w:after="150" w:line="408" w:lineRule="atLeast"/>
        <w:jc w:val="center"/>
        <w:rPr>
          <w:rFonts w:ascii="Arial" w:hAnsi="Arial" w:cs="Arial"/>
          <w:color w:val="000000"/>
          <w:lang w:val="ru-RU"/>
        </w:rPr>
      </w:pPr>
      <w:r w:rsidRPr="0021739C">
        <w:rPr>
          <w:rFonts w:ascii="Arial" w:hAnsi="Arial" w:cs="Arial"/>
          <w:b/>
          <w:bCs/>
          <w:i/>
          <w:iCs/>
          <w:color w:val="000000"/>
          <w:lang w:val="ru-RU"/>
        </w:rPr>
        <w:t>по району Люблино г. Москвы  за 2015 год»</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Основные усилия личного состава отдела внутренних дел в истекшем периоде были направлены на решение задач, поставленных перед органами и подразделениями внутренних дел и внутренними войсками в Директиве Министра внутренних дел Российской Федерации. Вследствие чего основные силы были сосредоточены на расследование тяжких и особо тяжких преступлений, борьбу с незаконным оборотом оружия и наркотиков, совершенствование профилактической деятельности, укрепление учетно-регистрационной дисциплины, максимальное обеспечение законных интересов и прав граждан, противодействие преступлений в сфере экономической безопасности.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Принимались дополнительные меры по совершенствованию системы реагирования на обращения граждан, укреплению законности при приеме и разрешении сообщений и заявлений о преступлениях, административных правонарушениях и происшествиях, по улучшению организации работы по раскрытию преступлений, в том числе и по раскрытию ранее совершенных преступлений и преступлений прошлых лет.</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2015 год для подразделений Отдела характеризовался качественным подбором кадрового состава, укреплением служебной дисциплины и законности в подразделениях Отдела.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Так анализ состояния служебной дисциплины в Отделе показал, что количество сотрудников, привлеченных к дисциплинарной ответственности, увеличилось по сравнению с аналогичным периодом прошлого года с 70 до 142.</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lastRenderedPageBreak/>
        <w:t>За 2015 год сотрудниками Отдела допущено 160 фактов нарушения служебной дисциплины, наложено 110 дисциплинарных взысканий (АППГ - 110). Это говорит о том, что работа в данном направлении находится на постоянном контроле и требует пристального внимания со стороны руководителей подразделений.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По итогам 2015 года некомплект снизился на 1,5 %. В настоящее время некомплект личного состава составляет 12 сотрудников, что составляет 6,3% (7,3%).</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Одной из определяющих задач полиции в современных условиях является построение эффективной системы взаимодействия с населением на обслуживаемой территории, которое не возможно без доверия граждан к работе полиции.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В этих целях, как и в прошлом году, определен порядок отчетов участковых уполномоченных полиции перед жителями района, проживающих на административных участках, за которыми закреплены участковые уполномоченные. Как показал опыт прошлого года основными наболевшими вопросами граждан являются, работа с лицами, занимающимися проституцией, злоупотребляющими спиртными напитками, подростками, склонными к совершению правонарушений, миграционной ситуации в районе, распространением наркотических веществ и лиц их употребляющих.</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Невозможно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дежурную часть Отдела поступило и было зарегистрировано  50833 заявлений, сообщений и иной информации о совершенных преступлениях и правонарушениях на территории района (АППГ-42460 (+16,5%)). Необходимо сказать, что нагрузка на сотрудников полиции по сравнению с прошлым годом возросла. Среднесуточная нагрузка на дежурный наряд составляет более 130 сообщений и является самой большой на территории Округа.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Общее количество лиц, доставленных в дежурную часть по сравнении с 2014 годом увеличилось с 9152 человек до 15204 человек в 2015 году. Среднесуточная нагрузка на дежурную смену по доставленным составила 43 человека.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За отчетный период на сотрудников дежурной части поступило 19 жалоб, значительная часть из которых связана с неосуществлением, по мнению граждан надлежащего реагирования на их заявления и сообщения. По всем поступившим жалобам проведены проверки.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в подразделении делопроизводства и режима было зарегистрировано 775 обращений граждан (в прошлом году 670), предложений 1, жалоб на действия и бездействие сотрудников 42 (АППГ -14), из которых 34 не поддержаны. Каждое сообщение рассмотрено, проведены проверки и приняты процессуальные решения. Все обращения исполнены в установленные сроки. Заявители проинформированы о результатах рассмотрения и принятых мерах.</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год был ознаменован множеством событий во всех сферах жизни, которые не могли не повлиять на характер задач, поставленных перед органами внутренних дел.</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Прежде всего – это обеспечение общественной безопасности и правопорядка в период подготовки и проведения последних звонков и дня знаний в школах района, празднование новогодних и религиозных праздников, и ставшее регулярным проведение «Русского марша» на территории района.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Должная организация взаимодействия органов власти и управления округа позволили не допустить дестабилизации оперативной обстановки и групповых нарушений общественного порядка при их проведении.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Сотрудники Отдела обеспечивали охрану общественного порядка и общественной безопасности при проведении 78 мероприятий, в том числе и городского значения, из которых: 11 религиозных праздников, 17 публичных акций, 38 спортивно-зрелищных и 7 культурно – массовых мероприятий, в обеспечении которых было задействовано 368 сотрудников органов внутренних дел.</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этих условиях перед правоохранительными органами, институтами гражданского общества и местными органами власти стоят задачи по созданию жесткого заслона на пути проникновения в молодежную среду экстремизма, ксенофобии, правового нигилизма и криминальной субкультуры.</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Охрану общественного порядка во взаимодействии с сотрудниками органов внутренних дел в указанных мероприятиях осуществляли 585  представителей Добровольной Народной Дружины, 87 представителей казачества.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Общими усилиями удалось не допустить совершения террористических актов и нарушений общественного порядка в период проведения указанных мероприятий. Сейчас можно говорить, что благодаря координации усилий органов власти, правоохранительных и государственных служб района была обеспечена надлежащая безопасность при проведении всех вышеуказанных мероприятий.</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прошедшем году при участии руководителей Отдела  проведены совещания в Управе района, в том числе и в рамках работы антитеррористической комиссии по вопросам взаимодействия в предупреждении диверсионно-террористических актов и экстремистских акций.</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целях профилактики преступлений, в том числе экстремисткой направленности со стороны членов неформальных молодежных объединений и иных этнических групп реализованы планы по проведению оперативно-профилактических мероприятий по проверке гостиничных комплексов, общежитий, объектов представляющих оперативный интерес. Всего проведено 25 комплексных обследований. Оперативно-профилактические мероприятия по данному направлению продолжаются.</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Сотрудниками полиции Отдела проводилась работа и по правонарушениям, которые в большей степени вызывают недовольство и раздражение жителей нашего района.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первую очередь это незаконная деятельность в сфере незаконной миграции. Согласно статистическими данным в 2015 году на территории района всего представителями дальнего и ближнего зарубежья за 2015 год совершено 155 преступлений.</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Вместе с тем сотрудниками полиции в данном направлении служебной деятельности проводилась последовательная работа. На территории района были организованы и проведены оперативно-профилактические мероприятия, в ходе которых осуществлены проверки мест рыночной торговли. Проведены мероприятия по пресечению несанкционированного проживания иностранных граждан в домах, расположенных на территории района. Осуществлялся профилактический обход жилого сектора, в части выявления квартир сдаваемых в поднаем. В результате таких мероприятий были установлены дома, где в найм сдается от 40 до 80 процентов квартир.</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рамках осуществления контроля за соблюдением миграционного законодательства было доставлено в органы внутренних дел 15204 человека, из них 620 человек привлечено к административной ответственности ( в прошлом 295). По решению суда выдворены за пределы границ России, с последующим запретом въезда, 583 иностранных граждан ( в прошлом году – 261).</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Отделением дознания в 2015 году возбуждено 8 уголовных дел по ст.322.1 (организация незаконной миграции) ( в прошлом году 4).</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Последовательная работа сотрудников Отдела по району Люблино по противодействию преступлениям, связанным с незаконным оборотом наркотических и психотропных веществ позволила снизить количество регистрируемых преступлений данного вида с 457 до 446. В ходе проведения оперативных мероприятий выявлено 5 преступлений (-1) предусмотренных ст.232 УК РФ (организация либо содержание притонов для потребления наркотических средств или психотропных веществ). Не остается без внимания и профилактическая работа по изъятию курительных смесей. Всего было выявлено 18 таких фактов, по которым возбуждены уголовные дела.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Немаловажную роль в профилактике преступлений является работа с ранее судимыми лицами.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рамках Федерального закона от 06 апреля 2011 г. № 64 «Об административном надзоре за лицами, освобожденными из мест лишения свободы» и приказа МВД России от 08 июля 2011 года № 818 «О порядке осуществления административного надзора за лицами, освобожденными из мест лишения свободы» под надзор поставлено 2 человека, Всего под административным надзором состоит 17 ранее судимых лиц, в том числе 10 поставленных по инициативе администрации исправительных учреждений и 7 по инициативе органов внутренних дел.</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отчетном периоде наблюдается снижение на 80% количества преступлений, совершенных несовершеннолетними, в первую очередь это плодотворная работа сотрудников подразделения по делам несовершеннолетних, которые в течение года вели активную лекционную и правовую работу среди несовершеннолетних на территории района. С улиц района и других общественных мест изъято и доставлено в Отдел внутренних дел – 109 несовершеннолетних правонарушителей, из них направлено в медицинские учреждения 40 несовершеннолетних, 3 помещено в Центр временного содержания. В том числе 5 за нахождение в состоянии алкогольного опьянения, а также за распитие спиртосодержащих напитков, 6 за употребление алкогольных напитков. Как показывает анализ указанная категория несовершеннолетних в большинстве случаев из неблагополучных или не полных семей, где родители не в полной мере выполняют свои обязанности по воспитанию и содержанию детей, злоупотребляют спиртными напитками и не всегда интересуются как ребенок проводит свой досуг и с кем поддерживает общение вне дома.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Вместе с тем сотрудниками полиции на протяжении всего отчетного периода была организована и проведена профилактическая работа. Так в образовательных учреждениях округа проводилась разъяснительная работа с несовершеннолетними в рамках проведения правовых дней. Всего сотрудниками полиции проведены 125 лекций и бесед с учащимися.</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целом предпринятые Отделом меры позволили сохранить общий контроль за состоянием правопорядка и безопасности в районе.</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Так за 12 месяцев 2015 количество зарегистрированных на территории района преступлений увеличилось на 31,2% и составило 3079 преступлений          или на 733 преступления больше аналогичного периода прошлого года.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Общая раскрываемость за 2015 год составляет 19,8% (в прошлом году 26,6%).</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За 12 месяцев 2015 года увеличилось количество тяжких  и особо тяжких преступлений к аналогичному периоду прошлого года на 146 и составляет +19,4% . Раскрываемость составила 20,9% (прошлый год 29,6%)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Увеличение количества тяжких и особо тяжких преступлений произошло за счет роста регистрации грабежей (+24,4%), разбойных нападений (+31,4%), умышленного причинения вреда здоровью (+13,0%) и преступлений, связанных с незаконным оборотом наркотиков (+25,6%).</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Вместе с тем, сложной остается ситуация с мошенничеством, за 2015 год было зарегистрировано 332 преступления связанных с обманом граждан, что больше чем в прошлом году на 97,6%. При этом остаток нераскрытых преступлений связанных с мошенничеством также увеличился на 38,6%.</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Более трети всех совершенных мошенничеств совершены в отношении пожилых людей. В раскрытии таких преступлений необходимо взаимодействие уголовного розыска с участковыми уполномоченными полиции. В данной ситуации эти преступления становятся наиболее резонансными, поскольку потерпевшими остаются наименее защищенные слои граждан, это пожилые жители нашего района. Активизацию работы как по раскрытию, так по профилактике данных преступлений считаю одной из приоритетных задач в наступившем году.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Сложной ситуация остается по совершенным преступлениям в общественных местах, в том числе на улице. За 12 месяцев 2015 года  на территории района на 48,4% зарегистрировано преступлений, совершенных в общественных местах.</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Говоря о правопорядке на территории нашего района, необходимо отразить еще один аспект деятельности органов внутренних дел. Это выявление и пресечение административных правонарушений, что также оказывает профилактическое влияние на состояние преступности.</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Всего за 12 месяцев 2015 года к административной ответственности привлечено 3683 человек, из которых 2190 (в прошлом году 2672) за распитие спиртных напитков в общественных местах. Наложено административных штрафов на сумму 1 млн. 763 тыс. 650 рублей.</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Участковыми уполномоченными за 12 месяцев 2015 года составлено 33 административных протоколов по ст. 6.11 КоАП РФ (занятие проституцией), в прошлом году таких материалов было составлено 97. Также действенным</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 </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средством профилактического воздействия на лиц, употребляющих наркотические вещества, является их привлечение к административной ответственности, так 2015 году участковыми уполномоченными полиции  привлечено 19 человек к административной ответственности по ст. 6.9. ч.1 КоАП РФ (потребление наркотических и психотропных веществ без назначения врача.</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В текущем году участковыми уполномоченными раскрыто 184 преступления.</w:t>
      </w:r>
    </w:p>
    <w:p w:rsidR="0021739C" w:rsidRPr="0021739C" w:rsidRDefault="0021739C" w:rsidP="0021739C">
      <w:pPr>
        <w:shd w:val="clear" w:color="auto" w:fill="FFFFFF"/>
        <w:spacing w:before="150" w:after="150" w:line="408" w:lineRule="atLeast"/>
        <w:rPr>
          <w:rFonts w:ascii="Arial" w:hAnsi="Arial" w:cs="Arial"/>
          <w:color w:val="000000"/>
          <w:lang w:val="ru-RU"/>
        </w:rPr>
      </w:pPr>
      <w:r w:rsidRPr="0021739C">
        <w:rPr>
          <w:rFonts w:ascii="Arial" w:hAnsi="Arial" w:cs="Arial"/>
          <w:color w:val="000000"/>
          <w:lang w:val="ru-RU"/>
        </w:rPr>
        <w:t>Оперативно-служебная деятельность Отдела МВД России по району Люблино г. Москвы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по итогам 12 месяцев 2015 года оценивается положительно. Общая оценка эффективности деятельности составила 68,64, что является 3 результатом среди подразделений УВД и 30 в системе оценки ГУ МВД России по г. Москве.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9C"/>
    <w:rsid w:val="0021739C"/>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1739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39C"/>
    <w:rPr>
      <w:rFonts w:ascii="Times" w:hAnsi="Times"/>
      <w:b/>
      <w:bCs/>
      <w:kern w:val="36"/>
      <w:sz w:val="48"/>
      <w:szCs w:val="48"/>
    </w:rPr>
  </w:style>
  <w:style w:type="paragraph" w:styleId="a3">
    <w:name w:val="Normal (Web)"/>
    <w:basedOn w:val="a"/>
    <w:uiPriority w:val="99"/>
    <w:unhideWhenUsed/>
    <w:rsid w:val="0021739C"/>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21739C"/>
    <w:rPr>
      <w:i/>
      <w:iCs/>
    </w:rPr>
  </w:style>
  <w:style w:type="paragraph" w:customStyle="1" w:styleId="21">
    <w:name w:val="21"/>
    <w:basedOn w:val="a"/>
    <w:rsid w:val="0021739C"/>
    <w:pPr>
      <w:spacing w:before="100" w:beforeAutospacing="1" w:after="100" w:afterAutospacing="1"/>
    </w:pPr>
    <w:rPr>
      <w:rFonts w:ascii="Times" w:hAnsi="Times"/>
      <w:sz w:val="20"/>
      <w:szCs w:val="20"/>
      <w:lang w:val="ru-RU"/>
    </w:rPr>
  </w:style>
  <w:style w:type="paragraph" w:customStyle="1" w:styleId="11">
    <w:name w:val="1"/>
    <w:basedOn w:val="a"/>
    <w:rsid w:val="0021739C"/>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1739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39C"/>
    <w:rPr>
      <w:rFonts w:ascii="Times" w:hAnsi="Times"/>
      <w:b/>
      <w:bCs/>
      <w:kern w:val="36"/>
      <w:sz w:val="48"/>
      <w:szCs w:val="48"/>
    </w:rPr>
  </w:style>
  <w:style w:type="paragraph" w:styleId="a3">
    <w:name w:val="Normal (Web)"/>
    <w:basedOn w:val="a"/>
    <w:uiPriority w:val="99"/>
    <w:unhideWhenUsed/>
    <w:rsid w:val="0021739C"/>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21739C"/>
    <w:rPr>
      <w:i/>
      <w:iCs/>
    </w:rPr>
  </w:style>
  <w:style w:type="paragraph" w:customStyle="1" w:styleId="21">
    <w:name w:val="21"/>
    <w:basedOn w:val="a"/>
    <w:rsid w:val="0021739C"/>
    <w:pPr>
      <w:spacing w:before="100" w:beforeAutospacing="1" w:after="100" w:afterAutospacing="1"/>
    </w:pPr>
    <w:rPr>
      <w:rFonts w:ascii="Times" w:hAnsi="Times"/>
      <w:sz w:val="20"/>
      <w:szCs w:val="20"/>
      <w:lang w:val="ru-RU"/>
    </w:rPr>
  </w:style>
  <w:style w:type="paragraph" w:customStyle="1" w:styleId="11">
    <w:name w:val="1"/>
    <w:basedOn w:val="a"/>
    <w:rsid w:val="0021739C"/>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7176">
      <w:bodyDiv w:val="1"/>
      <w:marLeft w:val="0"/>
      <w:marRight w:val="0"/>
      <w:marTop w:val="0"/>
      <w:marBottom w:val="0"/>
      <w:divBdr>
        <w:top w:val="none" w:sz="0" w:space="0" w:color="auto"/>
        <w:left w:val="none" w:sz="0" w:space="0" w:color="auto"/>
        <w:bottom w:val="none" w:sz="0" w:space="0" w:color="auto"/>
        <w:right w:val="none" w:sz="0" w:space="0" w:color="auto"/>
      </w:divBdr>
      <w:divsChild>
        <w:div w:id="882519894">
          <w:marLeft w:val="0"/>
          <w:marRight w:val="0"/>
          <w:marTop w:val="0"/>
          <w:marBottom w:val="0"/>
          <w:divBdr>
            <w:top w:val="none" w:sz="0" w:space="0" w:color="auto"/>
            <w:left w:val="none" w:sz="0" w:space="0" w:color="auto"/>
            <w:bottom w:val="none" w:sz="0" w:space="0" w:color="auto"/>
            <w:right w:val="none" w:sz="0" w:space="0" w:color="auto"/>
          </w:divBdr>
          <w:divsChild>
            <w:div w:id="60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2178</Words>
  <Characters>12417</Characters>
  <Application>Microsoft Macintosh Word</Application>
  <DocSecurity>0</DocSecurity>
  <Lines>103</Lines>
  <Paragraphs>29</Paragraphs>
  <ScaleCrop>false</ScaleCrop>
  <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2016-07-15T09:36:00Z</dcterms:created>
  <dcterms:modified xsi:type="dcterms:W3CDTF">2016-07-15T09:36:00Z</dcterms:modified>
</cp:coreProperties>
</file>