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РЕЗУЛЬТАТАХ РАБОТЫ ОУУП ОМВД РОССИИ ПО РАЙОНУ МАРЬИНСКИЙ ПАРК Г. МОСКВЫ ЗА 12 МЕСЯЦЕВ 2012 ГОДА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На административной территории ОМВД России по району Марьинский парк г. Москвы расположены 226 жилых дома, в которых находится 47750 квартир, в них проживает 125732 жителя; 39 кафе-баров, 248 предприятий и организаций различной экономической направленности, 9 поликлиник, 21 школа (23 здания), 30 дошкольных учреждений, 1 высшее учебное учреждение (заочный факультет- группа выходного дня), 11 объектов жизнеобеспечения, 5 мини- гостиниц всего на 69 человек, 6 торговых центров с большим пребыванием граждан (от 350 до 5500 чел.). На территории обслуживания ОМВД имеется 20 гаражей-стоянок.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Штатная численность участковых уполномоченных полиции ОМВД России (включая старших УУП) составляет 36 человек, из которых 1 начальник ОУУП, 1- заместитель начальника (вакансия). Некомплект УУП составляет 1 человек (заместитель). На конец отчетного периода УУП по списку- 34 человека, из которых – 1 чел. в декретном отпуске, 1 чел.- стажер. Из них службу проходят в должности: до 1 года- 5 чел., от 1 года до 3 лет- 9 чел., от 3 лет до 5 лет - 7 чел., от 5 до 10 лет- 9 чел.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АППГ штат УУП составлял 38 человек, некомплект- 3 единицы.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2012 год на территории района было совершено 2167 преступлений (2011 г. – 2096). Рост по сравнению с аналогичным периодом прошлого года составило 3,4 %. 484 преступления относится к категории тяжких и особо тяжких, что составляет 22,3 % от общего числа совершенных.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отчетном периоде на обслуживаемой территории в общественных местах совершено 1789 преступлений, АППГ – 1685 (6,2 %), на улицах-954 (АППГ-777) преступлений (22,8%).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жилом секторе совершено 56 краж из квартир, АППГ – 52 (7,7%).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отчетном периоде УУП ОМВД по району Марьинский парк по основным показателям оперативно-служебной деятельности достигли следующих результатов:</w:t>
      </w:r>
    </w:p>
    <w:p w:rsidR="00510DA5" w:rsidRDefault="00510DA5" w:rsidP="00510D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1.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>Раскрытие преступлений.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отчетный период за службой участковых уполномоченных полиции раскрыто 279 преступлений, из них: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ч.1 УК РФ (из ТЦ и магазинов)- 208 преступлений;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ч.1 УК РФ (из авто)- 2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>- по ст. 158 УК РФ (велосипеда)- 2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УК РФ (квартирная)- 2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ч.2 УК РФ (из ТЦ и магазинов)- 4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ч.1 УК РФ (в жилом секторе) – 5 преступлений;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158 ч.2 УК РФ (в жилом секторе) – 3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-по ст. 161 УК РФ- 2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115 ч.1 УК РФ 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115 ч.2 УК РФ - 2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116 УК РФ – 13 преступлений;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119 ч.1 УК РФ - 13 преступлений;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159 ч.1 УК РФ – 2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111 ч.1 УК РФ - 4 преступления;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112 ч.1 УК РФ - 1 преступление;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160 УК РФ – 6 преступлений;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222 УК РФ – 1 преступление;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232 ч.1 УК РФ – 1 преступление;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по ст. 264 УК РФ – 1 преступление;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-по ст. 327 ч.3 УК РФ – 1 преступление;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задержано 2 человека, находящихся в розыске.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Таким образом, в жилом секторе УУП раскрыто 58 преступлений (АППГ- 52), из них 34 преступления двойной превенции (АППГ- 26).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Направлено уголовных дел в суд – 216, АППГ – 284. Нагрузка на 1 участкового уполномоченного полиции составила 6 преступлений (по ЮВАО- 4 место).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Лучшие результаты по раскрытию преступлений имеют: УУП – Савкин Ю.А.- раскрыл 18 преступлений, Пыхтин М.Д. – раскрыл 16 преступлений, УУП Толстошеев В.В., Шубин В.В., Кулагин Д.А., Ермаков С.В., Габибов Р.А. -раскрыли по 14 преступлений.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Плохо сработали УУП: Михалевич М.Е., раскрыв только 3 преступления по ст. 158 УК РФ.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Негативом в данном направлении деятельности является то, что сотрудниками УУП в жилом секторе не раскрыто ни одного разбоя и угона транспортных средств.</w:t>
      </w:r>
    </w:p>
    <w:p w:rsidR="00510DA5" w:rsidRDefault="00510DA5" w:rsidP="00510D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2.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>Применение административного законодательства.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отчетном периоде участковыми уполномоченными полиции</w:t>
      </w:r>
      <w:r>
        <w:rPr>
          <w:rFonts w:ascii="Arial" w:hAnsi="Arial" w:cs="Arial"/>
          <w:color w:val="F4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lang w:val="en-US"/>
        </w:rPr>
        <w:t>составлено 2272 протокола об административных правонарушениях, за аналогичный период прошлого года – 2620(-348 протоколов). Из расчета на 1 участкового уполномоченного полиции в среднем составлено в текущем году по 66,8</w:t>
      </w:r>
      <w:r>
        <w:rPr>
          <w:rFonts w:ascii="Arial" w:hAnsi="Arial" w:cs="Arial"/>
          <w:color w:val="F4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протоколов об административных правонарушениях. Составлены протоколы по следующим составам: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Symbol" w:hAnsi="Symbol" w:cs="Symbol"/>
          <w:color w:val="19396C"/>
          <w:sz w:val="26"/>
          <w:szCs w:val="26"/>
          <w:lang w:val="en-US"/>
        </w:rPr>
        <w:t>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мелкое хулиганство –176, АППГ- 195 (-19 протоколов);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Symbol" w:hAnsi="Symbol" w:cs="Symbol"/>
          <w:color w:val="19396C"/>
          <w:sz w:val="26"/>
          <w:szCs w:val="26"/>
          <w:lang w:val="en-US"/>
        </w:rPr>
        <w:t>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распитие спиртных напитков и появление в пьяном виде – 461, АППГ- 621 (- 160 протоколов);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Symbol" w:hAnsi="Symbol" w:cs="Symbol"/>
          <w:color w:val="19396C"/>
          <w:sz w:val="26"/>
          <w:szCs w:val="26"/>
          <w:lang w:val="en-US"/>
        </w:rPr>
        <w:t>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нарушение режима пребывания в РФ (ст.18.8, 18.9 КоАП РФ) –248, АППГ-68 (+180 протоколов);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Symbol" w:hAnsi="Symbol" w:cs="Symbol"/>
          <w:color w:val="19396C"/>
          <w:sz w:val="26"/>
          <w:szCs w:val="26"/>
          <w:lang w:val="en-US"/>
        </w:rPr>
        <w:t>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проживание без паспорта или регистрации (ст.19.15, 19.16 КоАП РФ) – 68, АППГ- 56 (+12 протоколов);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left="480" w:hanging="480"/>
        <w:rPr>
          <w:rFonts w:ascii="Arial" w:hAnsi="Arial" w:cs="Arial"/>
          <w:color w:val="19396C"/>
          <w:lang w:val="en-US"/>
        </w:rPr>
      </w:pPr>
      <w:r>
        <w:rPr>
          <w:rFonts w:ascii="Symbol" w:hAnsi="Symbol" w:cs="Symbol"/>
          <w:color w:val="19396C"/>
          <w:sz w:val="26"/>
          <w:szCs w:val="26"/>
          <w:lang w:val="en-US"/>
        </w:rPr>
        <w:t>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прочие правонарушения – 1320, АППГ- 1680 (-360 протоколов).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Взыскаемость составила 70,5%, АППГ-82%.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Лучших результатов по административной практике достигли УУП: Медведев А.В. – 140 протоколов, Ждамаров В.Ю. - 125 протоколов, Толстошеев В.В. - 122 протокола.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Худший результат по административной практике имеет УУП: Михалевич М.Е. – 4 протокола, Гирев А.В. – 44 протокола, Баландин С.Н. - 58 протокола.</w:t>
      </w:r>
    </w:p>
    <w:p w:rsidR="00510DA5" w:rsidRDefault="00510DA5" w:rsidP="00510DA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3.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>Отработка жилого сектора.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жилом секторе имеется 47750 квартир</w:t>
      </w:r>
      <w:r>
        <w:rPr>
          <w:rFonts w:ascii="Arial" w:hAnsi="Arial" w:cs="Arial"/>
          <w:i/>
          <w:iCs/>
          <w:color w:val="19396C"/>
          <w:sz w:val="26"/>
          <w:szCs w:val="26"/>
          <w:lang w:val="en-US"/>
        </w:rPr>
        <w:t xml:space="preserve">. </w:t>
      </w:r>
      <w:r>
        <w:rPr>
          <w:rFonts w:ascii="Arial" w:hAnsi="Arial" w:cs="Arial"/>
          <w:color w:val="19396C"/>
          <w:sz w:val="26"/>
          <w:szCs w:val="26"/>
          <w:lang w:val="en-US"/>
        </w:rPr>
        <w:t>С 1 марта 2012 года заново началась отработка жилого сектора. За 12 месяцев сотрудниками ОУУП отработано все 100% квартир.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При отработке жилого сектора УУП была выявлена 298</w:t>
      </w: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lang w:val="en-US"/>
        </w:rPr>
        <w:t>квартир, сдаваемые в наем.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При отработке жилого сектора проводилась профилактическая работа в жилом секторе и разъяснительная работа среди населения. Результаты работы таковы:</w:t>
      </w:r>
    </w:p>
    <w:p w:rsidR="00510DA5" w:rsidRDefault="00510DA5" w:rsidP="00510DA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 xml:space="preserve">Профилактическая работа </w:t>
      </w:r>
      <w:r>
        <w:rPr>
          <w:rFonts w:ascii="Arial" w:hAnsi="Arial" w:cs="Arial"/>
          <w:color w:val="19396C"/>
          <w:sz w:val="26"/>
          <w:szCs w:val="26"/>
          <w:u w:val="single"/>
          <w:lang w:val="en-US"/>
        </w:rPr>
        <w:t>с лицами, склонными к правонарушениям: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2012 год на профилактические учеты участковыми уполномоченными полиции поставлено 172 человека, в том числе: алкоголики – 40, дебоширы – 32, СО психически больные – 6, наркоманы – 6, ранее судимые- 63, административный надзор- 8, условно осужденные- 25. Всего на профилактических учетах ОМВД состоит:</w:t>
      </w:r>
    </w:p>
    <w:p w:rsidR="00510DA5" w:rsidRDefault="00510DA5" w:rsidP="00510DA5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40"/>
        <w:gridCol w:w="540"/>
      </w:tblGrid>
      <w:tr w:rsidR="00510DA5">
        <w:tblPrEx>
          <w:tblCellMar>
            <w:top w:w="0" w:type="dxa"/>
            <w:bottom w:w="0" w:type="dxa"/>
          </w:tblCellMar>
        </w:tblPrEx>
        <w:tc>
          <w:tcPr>
            <w:tcW w:w="3340" w:type="dxa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40"/>
              <w:gridCol w:w="540"/>
              <w:gridCol w:w="7340"/>
            </w:tblGrid>
            <w:tr w:rsidR="00510D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Ранее судимые</w:t>
                  </w:r>
                </w:p>
              </w:tc>
              <w:tc>
                <w:tcPr>
                  <w:tcW w:w="540" w:type="dxa"/>
                  <w:tcBorders>
                    <w:top w:val="single" w:sz="8" w:space="0" w:color="19396C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109</w:t>
                  </w:r>
                </w:p>
              </w:tc>
              <w:tc>
                <w:tcPr>
                  <w:tcW w:w="7340" w:type="dxa"/>
                  <w:tcBorders>
                    <w:top w:val="single" w:sz="8" w:space="0" w:color="19396C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Из них формальщики - 64</w:t>
                  </w:r>
                </w:p>
              </w:tc>
            </w:tr>
            <w:tr w:rsidR="00510DA5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Судимые условно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163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  <w:tr w:rsidR="00510DA5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Адм. надзор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9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  <w:tr w:rsidR="00510DA5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Алкоголики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29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  <w:tr w:rsidR="00510DA5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Бытовые дебоширы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27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  <w:tr w:rsidR="00510DA5">
              <w:tblPrEx>
                <w:tblBorders>
                  <w:top w:val="none" w:sz="0" w:space="0" w:color="auto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Наркоманы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15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  <w:tr w:rsidR="00510D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40" w:type="dxa"/>
                  <w:tcBorders>
                    <w:top w:val="nil"/>
                    <w:left w:val="single" w:sz="8" w:space="0" w:color="19396C"/>
                    <w:bottom w:val="single" w:sz="8" w:space="0" w:color="19396C"/>
                    <w:right w:val="single" w:sz="8" w:space="0" w:color="000000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СО психбольные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19396C"/>
                    <w:right w:val="nil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33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8" w:space="0" w:color="19396C"/>
                    <w:right w:val="single" w:sz="8" w:space="0" w:color="19396C"/>
                  </w:tcBorders>
                  <w:tcMar>
                    <w:top w:w="140" w:type="nil"/>
                    <w:right w:w="140" w:type="nil"/>
                  </w:tcMar>
                  <w:vAlign w:val="bottom"/>
                </w:tcPr>
                <w:p w:rsidR="00510DA5" w:rsidRDefault="00510DA5">
                  <w:pPr>
                    <w:widowControl w:val="0"/>
                    <w:autoSpaceDE w:val="0"/>
                    <w:autoSpaceDN w:val="0"/>
                    <w:adjustRightInd w:val="0"/>
                    <w:spacing w:after="300"/>
                    <w:jc w:val="center"/>
                    <w:rPr>
                      <w:rFonts w:ascii="Arial" w:hAnsi="Arial" w:cs="Arial"/>
                      <w:color w:val="19396C"/>
                      <w:lang w:val="en-US"/>
                    </w:rPr>
                  </w:pPr>
                  <w:r>
                    <w:rPr>
                      <w:rFonts w:ascii="Arial" w:hAnsi="Arial" w:cs="Arial"/>
                      <w:color w:val="19396C"/>
                      <w:sz w:val="26"/>
                      <w:szCs w:val="26"/>
                      <w:lang w:val="en-US"/>
                    </w:rPr>
                    <w:t> </w:t>
                  </w:r>
                </w:p>
              </w:tc>
            </w:tr>
          </w:tbl>
          <w:p w:rsidR="00510DA5" w:rsidRDefault="00510D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  <w:tc>
          <w:tcPr>
            <w:tcW w:w="540" w:type="dxa"/>
            <w:tcBorders>
              <w:bottom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510DA5" w:rsidRDefault="00510D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</w:tbl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задачи участковых уполномоченных полиции входит проверка подучетного элемента с проведением профилактической работы не реже 1 раза в квартал.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510DA5" w:rsidRDefault="00510DA5" w:rsidP="00510DA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5.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>Административный надзор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Отделом МВД России по району Марьинский парк было заведено в 2012 году 8 дел административного надзора и одно лицо снято с надзора за истечением срока надзора.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Всего на профилактическом учете в ОМВД в режиме административного надзора состоят 9 ранее судимых лиц, из них 7 поставлено по инициативе ИК, а 2 лица по инициативе ОМВД.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4 поднадзорных лица (Роев И.Ю., Канашвили Б.Т., Новиков П.С. и Воронцов Н.В.) были привлечены к административной ответственности по ч. 1 ст. 19.24 КРФоАП за несоблюдение ограничений, установленных судом, т.е. за не явку на регистрацию в ОМВД согласно утвержденного графика без уважительных причин, а гр. Инчаков Я.В. был привлечен по указанной статье КРФоАП – 2 раза. (В отношении него было вынесено постановление об отказе в возбуждении уголовного дела по ст. 314.1. УК РФ). Таким образом, за текущий период 2012 года службой ОУУП было составлено 6 административных материалов по ст. 19.24 КРФоАП.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Уголовных дел в отношении поднадзорных лиц по ст. 314.1 УК РФ за уклонение от административного надзора сотрудниками ОМВД возбуждено не было.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текущий период 2012 года в отношении 3 поднадзорных лиц (Прибудько А.В., Инчакова Я.В., Новикова П.С.) было вынесено постановление об отказе в возбуждении уголовного дела по ст. 314.1 УК РФ.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11 месяцев 2012 года судом было отказано в установлении административного надзора в отношении 2 лиц -Харькова Г.В. (до погашении судимости осталось менее года) и Дивеева В.Б. (он 10.12.2012 года осужден к наказанию в виде лишения свободы).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отношении гр. Ковалева К.Е., который совершил 2 административных правонарушения, материал 10.12.2012 года направлен в Люблинский районный суд с целью решения вопроса об установлении в отношении него административного надзора. Судебное заседание назначено на 10.01.2013 года.</w:t>
      </w:r>
    </w:p>
    <w:p w:rsidR="00510DA5" w:rsidRDefault="00510DA5" w:rsidP="00510DA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6.</w:t>
      </w:r>
      <w:r>
        <w:rPr>
          <w:rFonts w:ascii="Arial" w:hAnsi="Arial" w:cs="Arial"/>
          <w:b/>
          <w:bCs/>
          <w:color w:val="19396C"/>
          <w:sz w:val="26"/>
          <w:szCs w:val="26"/>
          <w:u w:val="single"/>
          <w:lang w:val="en-US"/>
        </w:rPr>
        <w:t>Постановка квартир на охранную сигнализацию</w:t>
      </w:r>
      <w:r>
        <w:rPr>
          <w:rFonts w:ascii="Arial" w:hAnsi="Arial" w:cs="Arial"/>
          <w:color w:val="19396C"/>
          <w:sz w:val="26"/>
          <w:szCs w:val="26"/>
          <w:u w:val="single"/>
          <w:lang w:val="en-US"/>
        </w:rPr>
        <w:t>, связанную с ПЦО</w:t>
      </w:r>
      <w:r>
        <w:rPr>
          <w:rFonts w:ascii="Arial" w:hAnsi="Arial" w:cs="Arial"/>
          <w:color w:val="19396C"/>
          <w:sz w:val="26"/>
          <w:szCs w:val="26"/>
          <w:lang w:val="en-US"/>
        </w:rPr>
        <w:t>: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отчетном периоде участковыми уполномоченными ОМВД России по району Марьинский парк во время отработки жилого сектора в ходе бесед с гражданами на предмет постановки квартир на охранную сигнализацию было принято и направлено в ФГУП «Охрана» 208 заявлений</w:t>
      </w: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lang w:val="en-US"/>
        </w:rPr>
        <w:t>о постановке помещений под охрану, связанную с пультом УВО. В среднем каждым УУП за отчетный период принято по 6,3 заявлений.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Лучший результат по данному направлению имеет УУП: Баландин С.Н., принявший 24 заявления, Шубин В.В.- 22 заявления, Медведев А.В. – 21 заявление.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Плохо сработали в данном направлении и приняли только по одному заявлению УУП: Гирев А.В. и Леташков С.В.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Таким образом</w:t>
      </w:r>
      <w:r>
        <w:rPr>
          <w:rFonts w:ascii="Arial" w:hAnsi="Arial" w:cs="Arial"/>
          <w:color w:val="19396C"/>
          <w:sz w:val="26"/>
          <w:szCs w:val="26"/>
          <w:lang w:val="en-US"/>
        </w:rPr>
        <w:t>, приоритетными задачами на 2013 год остаются: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активизация работы по выявлению и раскрытию инициативных преступлений, преступлений превентивного состава, выполнения норм административного законодательства;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выявление лиц, формально подпадающих под административный надзор, а также решения вопроса в суде об установлении в отношении них административного надзора, согласно ФЗ № 64-2011г.;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проводить профилактические, разъяснительные беседы с гражданами и активами в жилом секторе, по предотвращению краж из квартир и постановки квартир на сигнализацию;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проводить разъяснительные работы с гражданами преклонного возраста по недопущению в отношении них фактов мошенничества;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 принять меры по отработке жилого сектора в полном объеме, особое внимание уделять квартирам, сдаваемым в наем; а также в беседах и делах поднимать престиж сотрудников полиции, разъясняя гражданам цели и задачи полиции: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-цели и задачи на текущий год – обучение личного состава УУП.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 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 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Начальник ОУУП ОМВД России по району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Марьинский парк г. Москвы</w:t>
      </w:r>
    </w:p>
    <w:p w:rsidR="00510DA5" w:rsidRDefault="00510DA5" w:rsidP="00510DA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майор полиции                                                                    А.А. Максимов</w:t>
      </w:r>
    </w:p>
    <w:p w:rsidR="009C473A" w:rsidRDefault="00510DA5" w:rsidP="00510DA5">
      <w:r>
        <w:rPr>
          <w:rFonts w:ascii="Arial" w:hAnsi="Arial" w:cs="Arial"/>
          <w:color w:val="19396C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A5"/>
    <w:rsid w:val="00510DA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1438</Words>
  <Characters>8198</Characters>
  <Application>Microsoft Macintosh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2013-03-18T09:36:00Z</dcterms:created>
  <dcterms:modified xsi:type="dcterms:W3CDTF">2013-03-18T09:36:00Z</dcterms:modified>
</cp:coreProperties>
</file>