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B0" w:rsidRDefault="00872BB0" w:rsidP="00872BB0">
      <w:pPr>
        <w:widowControl w:val="0"/>
        <w:autoSpaceDE w:val="0"/>
        <w:autoSpaceDN w:val="0"/>
        <w:adjustRightInd w:val="0"/>
        <w:spacing w:after="300"/>
        <w:rPr>
          <w:rFonts w:ascii="Arial" w:hAnsi="Arial" w:cs="Arial"/>
          <w:b/>
          <w:bCs/>
          <w:color w:val="0E4EB2"/>
          <w:sz w:val="48"/>
          <w:szCs w:val="48"/>
          <w:lang w:val="en-US"/>
        </w:rPr>
      </w:pPr>
      <w:r>
        <w:rPr>
          <w:rFonts w:ascii="Arial" w:hAnsi="Arial" w:cs="Arial"/>
          <w:b/>
          <w:bCs/>
          <w:color w:val="0E4EB2"/>
          <w:sz w:val="48"/>
          <w:szCs w:val="48"/>
          <w:lang w:val="en-US"/>
        </w:rPr>
        <w:t>ОТЧЕТ О РЕЗУЛЬТАТАХ РАБОТЫ ОУУП ОМВД РОССИИ ПО НИЖЕГОРОДСКОМУ РАЙОНУ Г. МОСКВЫ ЗА 12 МЕСЯЦЕВ 2012 ГОДА</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lang w:val="en-US"/>
        </w:rPr>
        <w:t>Обслуживаемая территория ОМВД РФ по Нижегородскому району       г. Москвы составляет 720 Га. На территории находиться 181 жилой дом. Население составляет 29,503 тыс. человек, из них взрослого населения 25509 человек, детского населения 3994. Кроме того, на территории района расположено 6 объектов особой важности, 4 отделения связи, 6 филиалов сберегательных банков, 1 пункт обмена валюты, 5 медицинских учреждений,   6 аптек, 3 общежития, 2 гостиницы, 8 детских дошкольных учреждений,         9 учебных заведений, 3 церкви и 1 кладбище, 11 жилищно-коммунальных учреждений, 10 строительных организаций, 13 автостоянок и ГСК,                 29 промышленных предприятий, 134 различные фирмы и ассоциации,           16 автокомбинатов и автобаз, 35 складских учреждений, 28 учреждений общественного питания, мастерских и парикмахерских.</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В отчетном периоде работа службы УУП ОМВД по Нижегородскому району строилась на основании Федеральных Законов РФ, приказа МВД         № 900 от 16.09.2002 г., приказа ГУВД по г. Москве № 402 от 09.09.2005 года, других нормативных актов, регламентирующих деятельность органов внутренних дел Российской Федерации. Приоритетными направлениями в деятельности были борьба с терроризмом и религиозным экстремизмом, предотвращение террористических актов на территории района, охрана общественного порядка в период подготовки и проведения государственных и религиозных праздников, борьба с незаконным оборотом оружия, взрывоопасных веществ и взрывных устройств, незаконным оборотом наркотических средств, раскрытие и расследование преступлений против личности.</w:t>
      </w:r>
    </w:p>
    <w:p w:rsidR="00872BB0" w:rsidRDefault="00872BB0" w:rsidP="00872BB0">
      <w:pPr>
        <w:widowControl w:val="0"/>
        <w:numPr>
          <w:ilvl w:val="0"/>
          <w:numId w:val="1"/>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 xml:space="preserve">1.По личному составу </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Штатная численность участковых уполномоченных полиции составляет 10 человек, вместе с начальником отделения.</w:t>
      </w:r>
    </w:p>
    <w:p w:rsidR="00872BB0" w:rsidRDefault="00872BB0" w:rsidP="00872BB0">
      <w:pPr>
        <w:widowControl w:val="0"/>
        <w:numPr>
          <w:ilvl w:val="0"/>
          <w:numId w:val="2"/>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2.Результаты работы по выявлению и раскрытию преступлений</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xml:space="preserve">         Проведенная работа позволила добиться определенных положительных результатов в служебной деятельности. Так, на территории района за текущий период службой участковых раскрыто по направленным в суд </w:t>
      </w:r>
      <w:r>
        <w:rPr>
          <w:rFonts w:ascii="Arial" w:hAnsi="Arial" w:cs="Arial"/>
          <w:b/>
          <w:bCs/>
          <w:color w:val="19396C"/>
          <w:sz w:val="26"/>
          <w:szCs w:val="26"/>
          <w:lang w:val="en-US"/>
        </w:rPr>
        <w:t xml:space="preserve">103 </w:t>
      </w:r>
      <w:r>
        <w:rPr>
          <w:rFonts w:ascii="Arial" w:hAnsi="Arial" w:cs="Arial"/>
          <w:color w:val="19396C"/>
          <w:sz w:val="26"/>
          <w:szCs w:val="26"/>
          <w:lang w:val="en-US"/>
        </w:rPr>
        <w:t xml:space="preserve">уголовных дел (АППГ- </w:t>
      </w:r>
      <w:r>
        <w:rPr>
          <w:rFonts w:ascii="Arial" w:hAnsi="Arial" w:cs="Arial"/>
          <w:b/>
          <w:bCs/>
          <w:color w:val="19396C"/>
          <w:sz w:val="26"/>
          <w:szCs w:val="26"/>
          <w:lang w:val="en-US"/>
        </w:rPr>
        <w:t>86</w:t>
      </w:r>
      <w:r>
        <w:rPr>
          <w:rFonts w:ascii="Arial" w:hAnsi="Arial" w:cs="Arial"/>
          <w:color w:val="19396C"/>
          <w:sz w:val="26"/>
          <w:szCs w:val="26"/>
          <w:lang w:val="en-US"/>
        </w:rPr>
        <w:t xml:space="preserve">), что на 16 преступлений больше. Средняя нагрузка на 1-го УУП составила </w:t>
      </w:r>
      <w:r>
        <w:rPr>
          <w:rFonts w:ascii="Arial" w:hAnsi="Arial" w:cs="Arial"/>
          <w:b/>
          <w:bCs/>
          <w:color w:val="19396C"/>
          <w:sz w:val="26"/>
          <w:szCs w:val="26"/>
          <w:lang w:val="en-US"/>
        </w:rPr>
        <w:t>10.3</w:t>
      </w:r>
      <w:r>
        <w:rPr>
          <w:rFonts w:ascii="Arial" w:hAnsi="Arial" w:cs="Arial"/>
          <w:color w:val="19396C"/>
          <w:sz w:val="26"/>
          <w:szCs w:val="26"/>
          <w:lang w:val="en-US"/>
        </w:rPr>
        <w:t xml:space="preserve"> преступления, что является самым высоким в округе нагрузочным показателем.</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b/>
          <w:bCs/>
          <w:color w:val="19396C"/>
          <w:sz w:val="26"/>
          <w:szCs w:val="26"/>
          <w:lang w:val="en-US"/>
        </w:rPr>
        <w:lastRenderedPageBreak/>
        <w:t>По видам преступлений:</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направлено в суд по ст. 158 УК РФ – 98 (кражи из ТК «Город»),     ст.119-2 (УУП Сидоров), ст. 327 УК РФ -1(УУП Романов), ст.158 ч. 1 УК РФ (УУП Кабанов - кража золотых колец в жилом секторе), ст.112 УК РФ – 1 (УУП Сидоров).</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Как показывает проведенный анализ, наиболее характерными преступлениями, раскрываемыми службой являются преступления, предусмотренные ст. 158 УК РФ. Так УУП не сработали по выявлению превентивных составов преступлений на обслуживаемой территории, за истекший период проведено 12 проверок в порядке ст. 144, 145 УПК РФ по заявлениям граждан, где формально усматривались признаки преступления, предусмотренные ст. 119 УК РФ (угроза убийством), однако по различным выявленным в ходе первоначальной проверки прокуратурой района фактам, было отказано в возбуждении уголовного дела. Так же УУП рассмотрено:</w:t>
      </w:r>
    </w:p>
    <w:tbl>
      <w:tblPr>
        <w:tblW w:w="0" w:type="auto"/>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36"/>
        <w:gridCol w:w="1"/>
        <w:gridCol w:w="1"/>
        <w:gridCol w:w="1778"/>
        <w:gridCol w:w="1500"/>
        <w:gridCol w:w="2280"/>
        <w:gridCol w:w="1"/>
        <w:gridCol w:w="1"/>
        <w:gridCol w:w="1758"/>
        <w:gridCol w:w="1600"/>
        <w:gridCol w:w="2280"/>
      </w:tblGrid>
      <w:tr w:rsidR="00872BB0">
        <w:tblPrEx>
          <w:tblCellMar>
            <w:top w:w="0" w:type="dxa"/>
            <w:bottom w:w="0" w:type="dxa"/>
          </w:tblCellMar>
        </w:tblPrEx>
        <w:tc>
          <w:tcPr>
            <w:tcW w:w="140" w:type="dxa"/>
            <w:vMerge w:val="restart"/>
            <w:tcBorders>
              <w:top w:val="single" w:sz="8" w:space="0" w:color="000000"/>
              <w:left w:val="single" w:sz="8" w:space="0" w:color="000000"/>
              <w:bottom w:val="single" w:sz="8" w:space="0" w:color="000000"/>
              <w:right w:val="single" w:sz="8" w:space="0" w:color="000000"/>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 </w:t>
            </w:r>
          </w:p>
        </w:tc>
        <w:tc>
          <w:tcPr>
            <w:tcW w:w="5560" w:type="dxa"/>
            <w:hMerge w:val="restart"/>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Ст. 115 УК РФ</w:t>
            </w:r>
          </w:p>
        </w:tc>
        <w:tc>
          <w:tcPr>
            <w:tcW w:w="5560" w:type="dxa"/>
            <w:hMerge/>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5560" w:type="dxa"/>
            <w:gridSpan w:val="3"/>
            <w:hMerge/>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5640" w:type="dxa"/>
            <w:hMerge w:val="restart"/>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Ст. 116 УК РФ</w:t>
            </w:r>
          </w:p>
        </w:tc>
        <w:tc>
          <w:tcPr>
            <w:tcW w:w="5640" w:type="dxa"/>
            <w:hMerge/>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5640" w:type="dxa"/>
            <w:gridSpan w:val="3"/>
            <w:hMerge/>
            <w:tcBorders>
              <w:top w:val="single" w:sz="8" w:space="0" w:color="6D6D6D"/>
              <w:bottom w:val="single" w:sz="8" w:space="0" w:color="6D6D6D"/>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r>
      <w:tr w:rsidR="00872BB0">
        <w:tblPrEx>
          <w:tblBorders>
            <w:top w:val="none" w:sz="0" w:space="0" w:color="auto"/>
          </w:tblBorders>
          <w:tblCellMar>
            <w:top w:w="0" w:type="dxa"/>
            <w:bottom w:w="0" w:type="dxa"/>
          </w:tblCellMar>
        </w:tblPrEx>
        <w:tc>
          <w:tcPr>
            <w:tcW w:w="140" w:type="dxa"/>
            <w:vMerge/>
            <w:tcBorders>
              <w:top w:val="single" w:sz="8" w:space="0" w:color="000000"/>
              <w:left w:val="single" w:sz="8" w:space="0" w:color="000000"/>
              <w:bottom w:val="single" w:sz="8" w:space="0" w:color="000000"/>
              <w:right w:val="single" w:sz="8" w:space="0" w:color="000000"/>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5560" w:type="dxa"/>
            <w:hMerge w:val="restart"/>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Из них:                </w:t>
            </w:r>
          </w:p>
        </w:tc>
        <w:tc>
          <w:tcPr>
            <w:tcW w:w="5560" w:type="dxa"/>
            <w:hMerge/>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5560" w:type="dxa"/>
            <w:gridSpan w:val="3"/>
            <w:hMerge/>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5640" w:type="dxa"/>
            <w:hMerge w:val="restart"/>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Из них:      </w:t>
            </w:r>
          </w:p>
        </w:tc>
        <w:tc>
          <w:tcPr>
            <w:tcW w:w="5640" w:type="dxa"/>
            <w:hMerge/>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5640" w:type="dxa"/>
            <w:gridSpan w:val="3"/>
            <w:hMerge/>
            <w:tcBorders>
              <w:bottom w:val="single" w:sz="8" w:space="0" w:color="6D6D6D"/>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r>
      <w:tr w:rsidR="00872BB0">
        <w:tblPrEx>
          <w:tblBorders>
            <w:top w:val="none" w:sz="0" w:space="0" w:color="auto"/>
          </w:tblBorders>
          <w:tblCellMar>
            <w:top w:w="0" w:type="dxa"/>
            <w:bottom w:w="0" w:type="dxa"/>
          </w:tblCellMar>
        </w:tblPrEx>
        <w:tc>
          <w:tcPr>
            <w:tcW w:w="140" w:type="dxa"/>
            <w:vMerge/>
            <w:tcBorders>
              <w:top w:val="single" w:sz="8" w:space="0" w:color="000000"/>
              <w:left w:val="single" w:sz="8" w:space="0" w:color="000000"/>
              <w:bottom w:val="single" w:sz="8" w:space="0" w:color="000000"/>
              <w:right w:val="single" w:sz="8" w:space="0" w:color="000000"/>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1780" w:type="dxa"/>
            <w:gridSpan w:val="3"/>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Всего рассмотрено материалов</w:t>
            </w:r>
          </w:p>
        </w:tc>
        <w:tc>
          <w:tcPr>
            <w:tcW w:w="150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Возбуждено уголовных дел</w:t>
            </w:r>
          </w:p>
        </w:tc>
        <w:tc>
          <w:tcPr>
            <w:tcW w:w="168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Отказано в возбуждении уголовного дела</w:t>
            </w:r>
          </w:p>
        </w:tc>
        <w:tc>
          <w:tcPr>
            <w:tcW w:w="1760" w:type="dxa"/>
            <w:gridSpan w:val="3"/>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Всего рассмотрено материалов</w:t>
            </w:r>
          </w:p>
        </w:tc>
        <w:tc>
          <w:tcPr>
            <w:tcW w:w="160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Возбуждено уголовных дел</w:t>
            </w:r>
          </w:p>
        </w:tc>
        <w:tc>
          <w:tcPr>
            <w:tcW w:w="1680" w:type="dxa"/>
            <w:tcBorders>
              <w:bottom w:val="single" w:sz="8" w:space="0" w:color="6D6D6D"/>
            </w:tcBorders>
            <w:tcMar>
              <w:top w:w="140" w:type="nil"/>
              <w:right w:w="140" w:type="nil"/>
            </w:tcMa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Отказано в возбуждении уголовного дела</w:t>
            </w:r>
          </w:p>
        </w:tc>
      </w:tr>
      <w:tr w:rsidR="00872BB0">
        <w:tblPrEx>
          <w:tblBorders>
            <w:top w:val="none" w:sz="0" w:space="0" w:color="auto"/>
            <w:bottom w:val="single" w:sz="8" w:space="0" w:color="6D6D6D"/>
          </w:tblBorders>
          <w:tblCellMar>
            <w:top w:w="0" w:type="dxa"/>
            <w:bottom w:w="0" w:type="dxa"/>
          </w:tblCellMar>
        </w:tblPrEx>
        <w:tc>
          <w:tcPr>
            <w:tcW w:w="140" w:type="dxa"/>
            <w:vMerge/>
            <w:tcBorders>
              <w:top w:val="single" w:sz="8" w:space="0" w:color="000000"/>
              <w:left w:val="single" w:sz="8" w:space="0" w:color="000000"/>
              <w:bottom w:val="single" w:sz="8" w:space="0" w:color="000000"/>
              <w:right w:val="single" w:sz="8" w:space="0" w:color="000000"/>
            </w:tcBorders>
            <w:tcMar>
              <w:top w:w="140" w:type="nil"/>
              <w:right w:w="140" w:type="nil"/>
            </w:tcMar>
          </w:tcPr>
          <w:p w:rsidR="00872BB0" w:rsidRDefault="00872BB0">
            <w:pPr>
              <w:widowControl w:val="0"/>
              <w:autoSpaceDE w:val="0"/>
              <w:autoSpaceDN w:val="0"/>
              <w:adjustRightInd w:val="0"/>
              <w:rPr>
                <w:rFonts w:ascii="Arial" w:hAnsi="Arial" w:cs="Arial"/>
                <w:color w:val="19396C"/>
                <w:lang w:val="en-US"/>
              </w:rPr>
            </w:pPr>
          </w:p>
        </w:tc>
        <w:tc>
          <w:tcPr>
            <w:tcW w:w="1780" w:type="dxa"/>
            <w:gridSpan w:val="3"/>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348</w:t>
            </w:r>
          </w:p>
        </w:tc>
        <w:tc>
          <w:tcPr>
            <w:tcW w:w="15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8</w:t>
            </w:r>
          </w:p>
        </w:tc>
        <w:tc>
          <w:tcPr>
            <w:tcW w:w="168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340</w:t>
            </w:r>
          </w:p>
        </w:tc>
        <w:tc>
          <w:tcPr>
            <w:tcW w:w="1760" w:type="dxa"/>
            <w:gridSpan w:val="3"/>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495</w:t>
            </w:r>
          </w:p>
        </w:tc>
        <w:tc>
          <w:tcPr>
            <w:tcW w:w="16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9</w:t>
            </w:r>
          </w:p>
        </w:tc>
        <w:tc>
          <w:tcPr>
            <w:tcW w:w="168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486</w:t>
            </w:r>
          </w:p>
        </w:tc>
      </w:tr>
    </w:tbl>
    <w:p w:rsidR="00872BB0" w:rsidRDefault="00872BB0" w:rsidP="00872BB0">
      <w:pPr>
        <w:widowControl w:val="0"/>
        <w:numPr>
          <w:ilvl w:val="0"/>
          <w:numId w:val="3"/>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 xml:space="preserve">3.Административная практика </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С целью профилактики преступлений участковыми уполномоченными полиции проводилась работа по выявлению и пресечению административных правонарушений.</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За текущий период 2012 года ими было выявлено 415 административное правонарушение (АППГ - 657),</w:t>
      </w:r>
      <w:r>
        <w:rPr>
          <w:rFonts w:ascii="Arial" w:hAnsi="Arial" w:cs="Arial"/>
          <w:color w:val="F40000"/>
          <w:sz w:val="26"/>
          <w:szCs w:val="26"/>
          <w:lang w:val="en-US"/>
        </w:rPr>
        <w:t xml:space="preserve"> </w:t>
      </w:r>
      <w:r>
        <w:rPr>
          <w:rFonts w:ascii="Arial" w:hAnsi="Arial" w:cs="Arial"/>
          <w:color w:val="19396C"/>
          <w:sz w:val="26"/>
          <w:szCs w:val="26"/>
          <w:lang w:val="en-US"/>
        </w:rPr>
        <w:t>снижение составило   41 %.</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по видам правонарушений</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по ст. 20.1-41 (АППГ-44)</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по ст. 20.20- 144 (АППГ-387)</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по ст. 20.21-4(АППГ-5)</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по ст. 19.15 – 2 (АППГ-1)</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по ст. 18.8, 18.10 – 112 (АППГ-42)</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за несанкционированную торговлю - 11</w:t>
      </w:r>
      <w:r>
        <w:rPr>
          <w:rFonts w:ascii="Arial" w:hAnsi="Arial" w:cs="Arial"/>
          <w:b/>
          <w:bCs/>
          <w:color w:val="F40000"/>
          <w:sz w:val="26"/>
          <w:szCs w:val="26"/>
          <w:lang w:val="en-US"/>
        </w:rPr>
        <w:t xml:space="preserve"> </w:t>
      </w:r>
      <w:r>
        <w:rPr>
          <w:rFonts w:ascii="Arial" w:hAnsi="Arial" w:cs="Arial"/>
          <w:b/>
          <w:bCs/>
          <w:color w:val="19396C"/>
          <w:sz w:val="26"/>
          <w:szCs w:val="26"/>
          <w:lang w:val="en-US"/>
        </w:rPr>
        <w:t>(АППГ-26)</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на адм. комиссию направлено – 50</w:t>
      </w:r>
      <w:r>
        <w:rPr>
          <w:rFonts w:ascii="Arial" w:hAnsi="Arial" w:cs="Arial"/>
          <w:b/>
          <w:bCs/>
          <w:color w:val="F40000"/>
          <w:sz w:val="26"/>
          <w:szCs w:val="26"/>
          <w:lang w:val="en-US"/>
        </w:rPr>
        <w:t xml:space="preserve"> </w:t>
      </w:r>
      <w:r>
        <w:rPr>
          <w:rFonts w:ascii="Arial" w:hAnsi="Arial" w:cs="Arial"/>
          <w:b/>
          <w:bCs/>
          <w:color w:val="19396C"/>
          <w:sz w:val="26"/>
          <w:szCs w:val="26"/>
          <w:lang w:val="en-US"/>
        </w:rPr>
        <w:t>(АППГ-41)</w:t>
      </w:r>
    </w:p>
    <w:p w:rsidR="00872BB0" w:rsidRDefault="00872BB0" w:rsidP="00872BB0">
      <w:pPr>
        <w:widowControl w:val="0"/>
        <w:numPr>
          <w:ilvl w:val="0"/>
          <w:numId w:val="4"/>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4.Профилактический учет</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Одной из форм профилактики правонарушений является проверка и постановка на различные списочные учеты в органы внутренних дел лиц, ранее судимых за совершение преступлений, а также иных лиц ведущих антиобщественный образ жизни.</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Так, на начало отчетного периода 2012 на учетах в ОМВД РФ по Нижегородскому району состояло:</w:t>
      </w:r>
    </w:p>
    <w:tbl>
      <w:tblPr>
        <w:tblW w:w="0" w:type="auto"/>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940"/>
        <w:gridCol w:w="1620"/>
        <w:gridCol w:w="1320"/>
        <w:gridCol w:w="1700"/>
        <w:gridCol w:w="1620"/>
      </w:tblGrid>
      <w:tr w:rsidR="00872BB0">
        <w:tblPrEx>
          <w:tblCellMar>
            <w:top w:w="0" w:type="dxa"/>
            <w:bottom w:w="0" w:type="dxa"/>
          </w:tblCellMar>
        </w:tblPrEx>
        <w:tc>
          <w:tcPr>
            <w:tcW w:w="2940" w:type="dxa"/>
            <w:tcBorders>
              <w:top w:val="single" w:sz="8" w:space="0" w:color="000000"/>
              <w:left w:val="single" w:sz="8" w:space="0" w:color="000000"/>
              <w:bottom w:val="single" w:sz="8" w:space="0" w:color="000000"/>
              <w:right w:val="single" w:sz="8" w:space="0" w:color="000000"/>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Категории лиц, состоящих на профучете</w:t>
            </w:r>
          </w:p>
        </w:tc>
        <w:tc>
          <w:tcPr>
            <w:tcW w:w="1620" w:type="dxa"/>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Состоит на начало отчетного периода 2012 года</w:t>
            </w:r>
          </w:p>
        </w:tc>
        <w:tc>
          <w:tcPr>
            <w:tcW w:w="1320" w:type="dxa"/>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Снято</w:t>
            </w:r>
          </w:p>
        </w:tc>
        <w:tc>
          <w:tcPr>
            <w:tcW w:w="1700" w:type="dxa"/>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Поставлено</w:t>
            </w:r>
          </w:p>
        </w:tc>
        <w:tc>
          <w:tcPr>
            <w:tcW w:w="1620" w:type="dxa"/>
            <w:tcBorders>
              <w:top w:val="single" w:sz="8" w:space="0" w:color="6D6D6D"/>
              <w:bottom w:val="single" w:sz="8" w:space="0" w:color="6D6D6D"/>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Состоит на конец отчетного периода 2012 (январь)</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Ранее судимые лица</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110</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74</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27</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42</w:t>
            </w:r>
          </w:p>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(ФПН -27)</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Алкоголики</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115</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56</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59</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Бытовые дебоширы</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35</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20</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15</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Наркоманы</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30</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25</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5</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Псих. Больные</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8</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8</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Болельщики</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ind w:left="140"/>
              <w:jc w:val="center"/>
              <w:rPr>
                <w:rFonts w:ascii="Arial" w:hAnsi="Arial" w:cs="Arial"/>
                <w:color w:val="19396C"/>
                <w:lang w:val="en-US"/>
              </w:rPr>
            </w:pPr>
            <w:r>
              <w:rPr>
                <w:rFonts w:ascii="Arial" w:hAnsi="Arial" w:cs="Arial"/>
                <w:color w:val="19396C"/>
                <w:sz w:val="26"/>
                <w:szCs w:val="26"/>
                <w:lang w:val="en-US"/>
              </w:rPr>
              <w:t>5</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ind w:left="140"/>
              <w:jc w:val="center"/>
              <w:rPr>
                <w:rFonts w:ascii="Arial" w:hAnsi="Arial" w:cs="Arial"/>
                <w:color w:val="19396C"/>
                <w:lang w:val="en-US"/>
              </w:rPr>
            </w:pPr>
            <w:r>
              <w:rPr>
                <w:rFonts w:ascii="Arial" w:hAnsi="Arial" w:cs="Arial"/>
                <w:color w:val="19396C"/>
                <w:sz w:val="26"/>
                <w:szCs w:val="26"/>
                <w:lang w:val="en-US"/>
              </w:rPr>
              <w:t>5</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ind w:left="140"/>
              <w:jc w:val="center"/>
              <w:rPr>
                <w:rFonts w:ascii="Arial" w:hAnsi="Arial" w:cs="Arial"/>
                <w:color w:val="19396C"/>
                <w:lang w:val="en-US"/>
              </w:rPr>
            </w:pPr>
            <w:r>
              <w:rPr>
                <w:rFonts w:ascii="Arial" w:hAnsi="Arial" w:cs="Arial"/>
                <w:color w:val="19396C"/>
                <w:sz w:val="26"/>
                <w:szCs w:val="26"/>
                <w:lang w:val="en-US"/>
              </w:rPr>
              <w:t> </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Условно осужденные </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66</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66</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Другие категории</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w:t>
            </w:r>
          </w:p>
        </w:tc>
      </w:tr>
      <w:tr w:rsidR="00872BB0">
        <w:tblPrEx>
          <w:tblBorders>
            <w:top w:val="none" w:sz="0" w:space="0" w:color="auto"/>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Всего</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371</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183</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32</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196</w:t>
            </w:r>
          </w:p>
        </w:tc>
      </w:tr>
      <w:tr w:rsidR="00872BB0">
        <w:tblPrEx>
          <w:tblBorders>
            <w:top w:val="none" w:sz="0" w:space="0" w:color="auto"/>
            <w:bottom w:val="single" w:sz="8" w:space="0" w:color="6D6D6D"/>
          </w:tblBorders>
          <w:tblCellMar>
            <w:top w:w="0" w:type="dxa"/>
            <w:bottom w:w="0" w:type="dxa"/>
          </w:tblCellMar>
        </w:tblPrEx>
        <w:tc>
          <w:tcPr>
            <w:tcW w:w="294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Административный надзор</w:t>
            </w:r>
          </w:p>
        </w:tc>
        <w:tc>
          <w:tcPr>
            <w:tcW w:w="16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1</w:t>
            </w:r>
          </w:p>
        </w:tc>
        <w:tc>
          <w:tcPr>
            <w:tcW w:w="132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1</w:t>
            </w:r>
          </w:p>
        </w:tc>
        <w:tc>
          <w:tcPr>
            <w:tcW w:w="1700" w:type="dxa"/>
            <w:tcBorders>
              <w:bottom w:val="single" w:sz="8" w:space="0" w:color="6D6D6D"/>
              <w:right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5</w:t>
            </w:r>
          </w:p>
        </w:tc>
        <w:tc>
          <w:tcPr>
            <w:tcW w:w="162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4</w:t>
            </w:r>
          </w:p>
        </w:tc>
      </w:tr>
    </w:tbl>
    <w:p w:rsidR="00872BB0" w:rsidRDefault="00872BB0" w:rsidP="00872BB0">
      <w:pPr>
        <w:widowControl w:val="0"/>
        <w:numPr>
          <w:ilvl w:val="0"/>
          <w:numId w:val="5"/>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5.Административный надзор</w:t>
      </w:r>
    </w:p>
    <w:p w:rsidR="00872BB0" w:rsidRDefault="00872BB0" w:rsidP="00872BB0">
      <w:pPr>
        <w:widowControl w:val="0"/>
        <w:autoSpaceDE w:val="0"/>
        <w:autoSpaceDN w:val="0"/>
        <w:adjustRightInd w:val="0"/>
        <w:spacing w:after="300"/>
        <w:ind w:firstLine="960"/>
        <w:jc w:val="both"/>
        <w:rPr>
          <w:rFonts w:ascii="Arial" w:hAnsi="Arial" w:cs="Arial"/>
          <w:color w:val="19396C"/>
          <w:lang w:val="en-US"/>
        </w:rPr>
      </w:pPr>
      <w:r>
        <w:rPr>
          <w:rFonts w:ascii="Arial" w:hAnsi="Arial" w:cs="Arial"/>
          <w:color w:val="19396C"/>
          <w:sz w:val="26"/>
          <w:szCs w:val="26"/>
          <w:lang w:val="en-US"/>
        </w:rPr>
        <w:t>С целью своевременного установления административного надзора за лицами, освобожденными из мест лишения свободы, имеющих не погашенную судимость за совершение преступлений против половой неприкосновенности несовершеннолетних и лицами, имеющими непогашенную судимость за совершения особо опасного рецидива преступлений в отдел МВД РФ по Нижегородскому району г. Москвы, проведена сверка данных о всех лицах, состоящих на профилактическом учете по категории 01 «ранее судимые». Лиц, подпадающих по административный надзор совершивших вышеуказанные деяния выявлено 3 человека, из них:       1 - стоит под надзором, 2 - находятся в местах лишения свободы.</w:t>
      </w:r>
    </w:p>
    <w:p w:rsidR="00872BB0" w:rsidRDefault="00872BB0" w:rsidP="00872BB0">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sz w:val="26"/>
          <w:szCs w:val="26"/>
          <w:lang w:val="en-US"/>
        </w:rPr>
        <w:t xml:space="preserve">Проведена сверка данных в отношении лиц, состоящих на профилактическом учете в ОМВД по категории ранее судимые, на начало отчетного периода состояло </w:t>
      </w:r>
      <w:r>
        <w:rPr>
          <w:rFonts w:ascii="Arial" w:hAnsi="Arial" w:cs="Arial"/>
          <w:b/>
          <w:bCs/>
          <w:color w:val="19396C"/>
          <w:sz w:val="26"/>
          <w:szCs w:val="26"/>
          <w:lang w:val="en-US"/>
        </w:rPr>
        <w:t>490</w:t>
      </w:r>
      <w:r>
        <w:rPr>
          <w:rFonts w:ascii="Arial" w:hAnsi="Arial" w:cs="Arial"/>
          <w:color w:val="19396C"/>
          <w:sz w:val="26"/>
          <w:szCs w:val="26"/>
          <w:lang w:val="en-US"/>
        </w:rPr>
        <w:t xml:space="preserve"> человек, из них лиц, подпадающих под административный надзор, совершивших вышеуказанные деяния не выявлено, </w:t>
      </w:r>
      <w:r>
        <w:rPr>
          <w:rFonts w:ascii="Arial" w:hAnsi="Arial" w:cs="Arial"/>
          <w:b/>
          <w:bCs/>
          <w:color w:val="19396C"/>
          <w:sz w:val="26"/>
          <w:szCs w:val="26"/>
          <w:lang w:val="en-US"/>
        </w:rPr>
        <w:t>463</w:t>
      </w:r>
      <w:r>
        <w:rPr>
          <w:rFonts w:ascii="Arial" w:hAnsi="Arial" w:cs="Arial"/>
          <w:color w:val="19396C"/>
          <w:sz w:val="26"/>
          <w:szCs w:val="26"/>
          <w:lang w:val="en-US"/>
        </w:rPr>
        <w:t xml:space="preserve"> не подпадают под действие ФЗ-64 из-за погашения судимостей, формально подпадающих под действие административный надзор (далее ФПН) </w:t>
      </w:r>
      <w:r>
        <w:rPr>
          <w:rFonts w:ascii="Arial" w:hAnsi="Arial" w:cs="Arial"/>
          <w:b/>
          <w:bCs/>
          <w:color w:val="19396C"/>
          <w:sz w:val="26"/>
          <w:szCs w:val="26"/>
          <w:lang w:val="en-US"/>
        </w:rPr>
        <w:t>25</w:t>
      </w:r>
      <w:r>
        <w:rPr>
          <w:rFonts w:ascii="Arial" w:hAnsi="Arial" w:cs="Arial"/>
          <w:color w:val="19396C"/>
          <w:sz w:val="26"/>
          <w:szCs w:val="26"/>
          <w:lang w:val="en-US"/>
        </w:rPr>
        <w:t xml:space="preserve"> человек, на которых в ЗИЦ Главка выставлены</w:t>
      </w:r>
      <w:r>
        <w:rPr>
          <w:rFonts w:ascii="Arial" w:hAnsi="Arial" w:cs="Arial"/>
          <w:b/>
          <w:bCs/>
          <w:color w:val="19396C"/>
          <w:sz w:val="26"/>
          <w:szCs w:val="26"/>
          <w:lang w:val="en-US"/>
        </w:rPr>
        <w:t xml:space="preserve"> </w:t>
      </w:r>
      <w:r>
        <w:rPr>
          <w:rFonts w:ascii="Arial" w:hAnsi="Arial" w:cs="Arial"/>
          <w:color w:val="19396C"/>
          <w:sz w:val="26"/>
          <w:szCs w:val="26"/>
          <w:lang w:val="en-US"/>
        </w:rPr>
        <w:t xml:space="preserve">АСК </w:t>
      </w:r>
      <w:r>
        <w:rPr>
          <w:rFonts w:ascii="Arial" w:hAnsi="Arial" w:cs="Arial"/>
          <w:b/>
          <w:bCs/>
          <w:color w:val="19396C"/>
          <w:sz w:val="26"/>
          <w:szCs w:val="26"/>
          <w:lang w:val="en-US"/>
        </w:rPr>
        <w:t>(</w:t>
      </w:r>
      <w:r>
        <w:rPr>
          <w:rFonts w:ascii="Arial" w:hAnsi="Arial" w:cs="Arial"/>
          <w:color w:val="19396C"/>
          <w:sz w:val="26"/>
          <w:szCs w:val="26"/>
          <w:lang w:val="en-US"/>
        </w:rPr>
        <w:t>автоматизированная справочная карточка</w:t>
      </w:r>
      <w:r>
        <w:rPr>
          <w:rFonts w:ascii="Arial" w:hAnsi="Arial" w:cs="Arial"/>
          <w:b/>
          <w:bCs/>
          <w:color w:val="19396C"/>
          <w:sz w:val="26"/>
          <w:szCs w:val="26"/>
          <w:lang w:val="en-US"/>
        </w:rPr>
        <w:t xml:space="preserve">). </w:t>
      </w:r>
      <w:r>
        <w:rPr>
          <w:rFonts w:ascii="Arial" w:hAnsi="Arial" w:cs="Arial"/>
          <w:color w:val="19396C"/>
          <w:sz w:val="26"/>
          <w:szCs w:val="26"/>
          <w:lang w:val="en-US"/>
        </w:rPr>
        <w:t>(2 ФПН на территории района не проживают Макарова и Мороз)</w:t>
      </w:r>
    </w:p>
    <w:p w:rsidR="00872BB0" w:rsidRDefault="00872BB0" w:rsidP="00872BB0">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sz w:val="26"/>
          <w:szCs w:val="26"/>
          <w:lang w:val="en-US"/>
        </w:rPr>
        <w:t>С октября 2011 года в ОМВД поставлены под административный надзор по инициативе исправительных учреждений 3 человека (Алтухов, Хатоев, Осипов). По инициативе ОМВД 3 человека (Соколов, Васин, Токарев).</w:t>
      </w:r>
    </w:p>
    <w:p w:rsidR="00872BB0" w:rsidRDefault="00872BB0" w:rsidP="00872BB0">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sz w:val="26"/>
          <w:szCs w:val="26"/>
          <w:lang w:val="en-US"/>
        </w:rPr>
        <w:t>В июле 2012 года срок надзора закончен у Алтухова, Осипов направлен в связи с переменой места жительства в ОМВД РФ по Таганскому району          г. Москвы. Остаток 4 надзорника (по инициативе ОВД – Соколов ст. 135 УК РФ, Васин - ст. 162 УК РФ, Токарев - ст. 111 ч.4 УК РФ) по инициативе исправительных учреждений 1 – Хатоев – ст. 158 ч. 3 УК РФ (квартирная кража).</w:t>
      </w:r>
    </w:p>
    <w:p w:rsidR="00872BB0" w:rsidRDefault="00872BB0" w:rsidP="00872BB0">
      <w:pPr>
        <w:widowControl w:val="0"/>
        <w:autoSpaceDE w:val="0"/>
        <w:autoSpaceDN w:val="0"/>
        <w:adjustRightInd w:val="0"/>
        <w:spacing w:after="300"/>
        <w:ind w:firstLine="740"/>
        <w:jc w:val="both"/>
        <w:rPr>
          <w:rFonts w:ascii="Arial" w:hAnsi="Arial" w:cs="Arial"/>
          <w:color w:val="19396C"/>
          <w:lang w:val="en-US"/>
        </w:rPr>
      </w:pPr>
      <w:r>
        <w:rPr>
          <w:rFonts w:ascii="Arial" w:hAnsi="Arial" w:cs="Arial"/>
          <w:color w:val="19396C"/>
          <w:sz w:val="26"/>
          <w:szCs w:val="26"/>
          <w:lang w:val="en-US"/>
        </w:rPr>
        <w:t>Выявлено 2 ФПН совершивших 2 правонарушения против порядка управления и общественной нравственности, судом 10 и 19 декабря 2012 года приняты решения об установлении в отношении Савельева и Пушанова судимых за особо тяжкие составы надзора, по вступлению в законную силу решений данные лица будут выставлены в ЗИЦ.</w:t>
      </w:r>
    </w:p>
    <w:p w:rsidR="00872BB0" w:rsidRDefault="00872BB0" w:rsidP="00872BB0">
      <w:pPr>
        <w:widowControl w:val="0"/>
        <w:numPr>
          <w:ilvl w:val="0"/>
          <w:numId w:val="6"/>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 xml:space="preserve">6.Результаты работы по рассмотрению жалоб, заявлений и обращений граждан. </w:t>
      </w:r>
    </w:p>
    <w:tbl>
      <w:tblPr>
        <w:tblW w:w="0" w:type="auto"/>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320"/>
        <w:gridCol w:w="6660"/>
        <w:gridCol w:w="3360"/>
      </w:tblGrid>
      <w:tr w:rsidR="00872BB0">
        <w:tblPrEx>
          <w:tblCellMar>
            <w:top w:w="0" w:type="dxa"/>
            <w:bottom w:w="0" w:type="dxa"/>
          </w:tblCellMar>
        </w:tblPrEx>
        <w:tc>
          <w:tcPr>
            <w:tcW w:w="1320" w:type="dxa"/>
            <w:tcBorders>
              <w:top w:val="single" w:sz="8" w:space="0" w:color="000000"/>
              <w:left w:val="single" w:sz="8" w:space="0" w:color="000000"/>
              <w:bottom w:val="single" w:sz="8" w:space="0" w:color="000000"/>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w:t>
            </w:r>
          </w:p>
        </w:tc>
        <w:tc>
          <w:tcPr>
            <w:tcW w:w="6660" w:type="dxa"/>
            <w:tcBorders>
              <w:top w:val="single" w:sz="8" w:space="0" w:color="6D6D6D"/>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Название позиции</w:t>
            </w:r>
          </w:p>
        </w:tc>
        <w:tc>
          <w:tcPr>
            <w:tcW w:w="3360" w:type="dxa"/>
            <w:tcBorders>
              <w:top w:val="single" w:sz="8" w:space="0" w:color="6D6D6D"/>
              <w:bottom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количество/нагрузка</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1.</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Рассмотрено материалов зарегистрированных в КУСП</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3912</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2.</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Вынесено УУП отказов в возбуждении уголовного дела</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2386</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3.</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Из них отменено прокурором:</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111</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4.</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Из числа отмененных прокурором направлено на доработку</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110</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5.</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Из числа отмененных прокурором возбуждено уголовных дел</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6.</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Рассмотрено жалоб и заявлений</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2398</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7.</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Рассмотрено жалоб и заявлений (АППГ)</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2610</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8.</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Всего доверенных лиц</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23</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9.</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Из них являются старшими по домам и подъездам</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21</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10.</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приобретено доверенных лиц</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rPr>
                <w:rFonts w:ascii="Arial" w:hAnsi="Arial" w:cs="Arial"/>
                <w:color w:val="19396C"/>
                <w:lang w:val="en-US"/>
              </w:rPr>
            </w:pPr>
            <w:r>
              <w:rPr>
                <w:rFonts w:ascii="Arial" w:hAnsi="Arial" w:cs="Arial"/>
                <w:color w:val="19396C"/>
                <w:sz w:val="26"/>
                <w:szCs w:val="26"/>
                <w:lang w:val="en-US"/>
              </w:rPr>
              <w:t> </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11.</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Из них являются старшими по домам и подъездам</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rPr>
                <w:rFonts w:ascii="Arial" w:hAnsi="Arial" w:cs="Arial"/>
                <w:color w:val="19396C"/>
                <w:lang w:val="en-US"/>
              </w:rPr>
            </w:pPr>
            <w:r>
              <w:rPr>
                <w:rFonts w:ascii="Arial" w:hAnsi="Arial" w:cs="Arial"/>
                <w:color w:val="19396C"/>
                <w:sz w:val="26"/>
                <w:szCs w:val="26"/>
                <w:lang w:val="en-US"/>
              </w:rPr>
              <w:t> </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12.</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исключено доверенных лиц</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rPr>
                <w:rFonts w:ascii="Arial" w:hAnsi="Arial" w:cs="Arial"/>
                <w:color w:val="19396C"/>
                <w:lang w:val="en-US"/>
              </w:rPr>
            </w:pPr>
            <w:r>
              <w:rPr>
                <w:rFonts w:ascii="Arial" w:hAnsi="Arial" w:cs="Arial"/>
                <w:color w:val="19396C"/>
                <w:sz w:val="26"/>
                <w:szCs w:val="26"/>
                <w:lang w:val="en-US"/>
              </w:rPr>
              <w:t> </w:t>
            </w:r>
          </w:p>
        </w:tc>
      </w:tr>
      <w:tr w:rsidR="00872BB0">
        <w:tblPrEx>
          <w:tblBorders>
            <w:top w:val="none" w:sz="0" w:space="0" w:color="auto"/>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13.</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выявлено административных правонарушений с помощью доверенных лиц</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41</w:t>
            </w:r>
          </w:p>
        </w:tc>
      </w:tr>
      <w:tr w:rsidR="00872BB0">
        <w:tblPrEx>
          <w:tblBorders>
            <w:top w:val="none" w:sz="0" w:space="0" w:color="auto"/>
            <w:bottom w:val="single" w:sz="8" w:space="0" w:color="6D6D6D"/>
          </w:tblBorders>
          <w:tblCellMar>
            <w:top w:w="0" w:type="dxa"/>
            <w:bottom w:w="0" w:type="dxa"/>
          </w:tblCellMar>
        </w:tblPrEx>
        <w:tc>
          <w:tcPr>
            <w:tcW w:w="1320" w:type="dxa"/>
            <w:tcBorders>
              <w:bottom w:val="single" w:sz="8" w:space="0" w:color="6D6D6D"/>
              <w:right w:val="single" w:sz="8" w:space="0" w:color="000000"/>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14.</w:t>
            </w:r>
          </w:p>
        </w:tc>
        <w:tc>
          <w:tcPr>
            <w:tcW w:w="6660" w:type="dxa"/>
            <w:tcBorders>
              <w:bottom w:val="single" w:sz="8" w:space="0" w:color="6D6D6D"/>
              <w:right w:val="single" w:sz="8" w:space="0" w:color="6D6D6D"/>
            </w:tcBorders>
            <w:tcMar>
              <w:top w:w="140" w:type="nil"/>
              <w:right w:w="140" w:type="nil"/>
            </w:tcMar>
          </w:tcPr>
          <w:p w:rsidR="00872BB0" w:rsidRDefault="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Разыскано лиц скрывающихся от суда и следствия с помощью ДЛ</w:t>
            </w:r>
          </w:p>
        </w:tc>
        <w:tc>
          <w:tcPr>
            <w:tcW w:w="3360" w:type="dxa"/>
            <w:tcBorders>
              <w:bottom w:val="single" w:sz="8" w:space="0" w:color="6D6D6D"/>
            </w:tcBorders>
            <w:tcMar>
              <w:top w:w="140" w:type="nil"/>
              <w:right w:w="140" w:type="nil"/>
            </w:tcMar>
            <w:vAlign w:val="center"/>
          </w:tcPr>
          <w:p w:rsidR="00872BB0" w:rsidRDefault="00872BB0">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w:t>
            </w:r>
          </w:p>
        </w:tc>
      </w:tr>
    </w:tbl>
    <w:p w:rsidR="00872BB0" w:rsidRDefault="00872BB0" w:rsidP="00872BB0">
      <w:pPr>
        <w:widowControl w:val="0"/>
        <w:numPr>
          <w:ilvl w:val="0"/>
          <w:numId w:val="7"/>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 xml:space="preserve">7.Сведения о встречах с населением </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Во исполнение решения ОС от 06.12.2010 года при начальнике ГУ МВД РФ по г. Москве, указания ГУ МВД РФ по г. Москве № 14/70-94 от 13.01.2011 года, в целях формирования положительного имиджа руководителей и сотрудников полиции, установления более тесной связи с жителями административных участков в районе и для своевременного реагирования на поступающие обращения, оказания гражданам содействия в защите их прав и законных интересов 16.02.2012 года на территории района по адресу                 г. Москва, Рязанский проспект д. 9 в помещении университета им. Шолохова проведена встреча с населением УУП района совместно с председателями ОПОП, на которых в общей сложности присутствовало 32 человека, результаты работы УУП отдела признаны удовлетворительными.</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18 апреля 2012 года в присутствии руководства МВД РФ полковник Трушин, ГУ МВД РФ по г. Москве лейтенант полиции Немков, УВД по ЮВАО подполковник полиции Колганов проведен отчет перед населением за 1 квартал текущего года, участвовало более 50 граждан, работа УУП признана удовлетворительной.</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18 июля 2012 года в библиотеке № 69 (ул. Нижегородская, д.70, корп. 1) проведен отчет руководства ОМВД и УУП перед населением о проделанной работе за 1 полугодие 2012 года. На отчете присутствовал 51 житель района, руководители районной управы.</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18 октября 2012 года в актовом зале СШ № 785 Орехово-Зуевский проезд, присутствовало 39 человек. Работа УУП признана удовлетворительной.</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Отчет за 2012 года состоится 24 января 2013 года.</w:t>
      </w:r>
    </w:p>
    <w:p w:rsidR="00872BB0" w:rsidRDefault="00872BB0" w:rsidP="00872BB0">
      <w:pPr>
        <w:widowControl w:val="0"/>
        <w:numPr>
          <w:ilvl w:val="0"/>
          <w:numId w:val="8"/>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8.Состояние служебной дисциплины</w:t>
      </w:r>
    </w:p>
    <w:p w:rsidR="00872BB0" w:rsidRDefault="00872BB0" w:rsidP="00872BB0">
      <w:pPr>
        <w:widowControl w:val="0"/>
        <w:autoSpaceDE w:val="0"/>
        <w:autoSpaceDN w:val="0"/>
        <w:adjustRightInd w:val="0"/>
        <w:spacing w:after="300"/>
        <w:ind w:left="80"/>
        <w:jc w:val="both"/>
        <w:rPr>
          <w:rFonts w:ascii="Arial" w:hAnsi="Arial" w:cs="Arial"/>
          <w:color w:val="19396C"/>
          <w:lang w:val="en-US"/>
        </w:rPr>
      </w:pPr>
      <w:r>
        <w:rPr>
          <w:rFonts w:ascii="Arial" w:hAnsi="Arial" w:cs="Arial"/>
          <w:color w:val="19396C"/>
          <w:sz w:val="26"/>
          <w:szCs w:val="26"/>
          <w:lang w:val="en-US"/>
        </w:rPr>
        <w:t>По состоянию на 30 декабря 2012 года к дисциплинарной ответственности привлечено 4 сотрудника отделения</w:t>
      </w:r>
    </w:p>
    <w:p w:rsidR="00872BB0" w:rsidRDefault="00872BB0" w:rsidP="00872BB0">
      <w:pPr>
        <w:widowControl w:val="0"/>
        <w:autoSpaceDE w:val="0"/>
        <w:autoSpaceDN w:val="0"/>
        <w:adjustRightInd w:val="0"/>
        <w:spacing w:after="300"/>
        <w:ind w:left="80"/>
        <w:jc w:val="both"/>
        <w:rPr>
          <w:rFonts w:ascii="Arial" w:hAnsi="Arial" w:cs="Arial"/>
          <w:color w:val="19396C"/>
          <w:lang w:val="en-US"/>
        </w:rPr>
      </w:pPr>
      <w:r>
        <w:rPr>
          <w:rFonts w:ascii="Arial" w:hAnsi="Arial" w:cs="Arial"/>
          <w:color w:val="19396C"/>
          <w:sz w:val="26"/>
          <w:szCs w:val="26"/>
          <w:lang w:val="en-US"/>
        </w:rPr>
        <w:t>УУП Дегтярев А.Ю. – выговор (январь 2012 за УРД)</w:t>
      </w:r>
    </w:p>
    <w:p w:rsidR="00872BB0" w:rsidRDefault="00872BB0" w:rsidP="00872BB0">
      <w:pPr>
        <w:widowControl w:val="0"/>
        <w:autoSpaceDE w:val="0"/>
        <w:autoSpaceDN w:val="0"/>
        <w:adjustRightInd w:val="0"/>
        <w:spacing w:after="300"/>
        <w:ind w:left="80"/>
        <w:jc w:val="both"/>
        <w:rPr>
          <w:rFonts w:ascii="Arial" w:hAnsi="Arial" w:cs="Arial"/>
          <w:color w:val="19396C"/>
          <w:lang w:val="en-US"/>
        </w:rPr>
      </w:pPr>
      <w:r>
        <w:rPr>
          <w:rFonts w:ascii="Arial" w:hAnsi="Arial" w:cs="Arial"/>
          <w:color w:val="19396C"/>
          <w:sz w:val="26"/>
          <w:szCs w:val="26"/>
          <w:lang w:val="en-US"/>
        </w:rPr>
        <w:t>УУП Павловский А.Н. – выговор (УРД Представление)</w:t>
      </w:r>
    </w:p>
    <w:p w:rsidR="00872BB0" w:rsidRDefault="00872BB0" w:rsidP="00872BB0">
      <w:pPr>
        <w:widowControl w:val="0"/>
        <w:autoSpaceDE w:val="0"/>
        <w:autoSpaceDN w:val="0"/>
        <w:adjustRightInd w:val="0"/>
        <w:spacing w:after="300"/>
        <w:ind w:left="80"/>
        <w:jc w:val="both"/>
        <w:rPr>
          <w:rFonts w:ascii="Arial" w:hAnsi="Arial" w:cs="Arial"/>
          <w:color w:val="19396C"/>
          <w:lang w:val="en-US"/>
        </w:rPr>
      </w:pPr>
      <w:r>
        <w:rPr>
          <w:rFonts w:ascii="Arial" w:hAnsi="Arial" w:cs="Arial"/>
          <w:color w:val="19396C"/>
          <w:sz w:val="26"/>
          <w:szCs w:val="26"/>
          <w:lang w:val="en-US"/>
        </w:rPr>
        <w:t>УУП Егоров М.А. – выговор (представление ЛМП г. Москвы)</w:t>
      </w:r>
    </w:p>
    <w:p w:rsidR="00872BB0" w:rsidRDefault="00872BB0" w:rsidP="00872BB0">
      <w:pPr>
        <w:widowControl w:val="0"/>
        <w:autoSpaceDE w:val="0"/>
        <w:autoSpaceDN w:val="0"/>
        <w:adjustRightInd w:val="0"/>
        <w:spacing w:after="300"/>
        <w:ind w:left="80"/>
        <w:jc w:val="both"/>
        <w:rPr>
          <w:rFonts w:ascii="Arial" w:hAnsi="Arial" w:cs="Arial"/>
          <w:color w:val="19396C"/>
          <w:lang w:val="en-US"/>
        </w:rPr>
      </w:pPr>
      <w:r>
        <w:rPr>
          <w:rFonts w:ascii="Arial" w:hAnsi="Arial" w:cs="Arial"/>
          <w:color w:val="19396C"/>
          <w:sz w:val="26"/>
          <w:szCs w:val="26"/>
          <w:lang w:val="en-US"/>
        </w:rPr>
        <w:t>УУП Сидоров С.С. – выговор (представление ЛМП г. Москвы)</w:t>
      </w:r>
    </w:p>
    <w:p w:rsidR="00872BB0" w:rsidRDefault="00872BB0" w:rsidP="00872BB0">
      <w:pPr>
        <w:widowControl w:val="0"/>
        <w:numPr>
          <w:ilvl w:val="0"/>
          <w:numId w:val="9"/>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26"/>
          <w:szCs w:val="26"/>
          <w:lang w:val="en-US"/>
        </w:rPr>
        <w:t>9.Отработка жилого сектора</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На территории расположено: 181 дом, в них: 12369 квартир, в т.ч.       863 квартиры телефонизированы, 511 - оборудованы охранной сигнализацией.</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С 1 марта 2012 года УУП отработано 9371 квартир, что из числа общей численности квартир составляет 76%.</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За 12 месяцев 2012 года при отработке жилого сектора с гражданами проводятся беседы о постановке квартир на охранную сигнализацию, принято 49 заявлений, из них поставлено на ПЦО только 8.       </w:t>
      </w:r>
    </w:p>
    <w:p w:rsidR="00872BB0" w:rsidRDefault="00872BB0" w:rsidP="00872BB0">
      <w:pPr>
        <w:widowControl w:val="0"/>
        <w:autoSpaceDE w:val="0"/>
        <w:autoSpaceDN w:val="0"/>
        <w:adjustRightInd w:val="0"/>
        <w:spacing w:after="300"/>
        <w:ind w:firstLine="940"/>
        <w:jc w:val="both"/>
        <w:rPr>
          <w:rFonts w:ascii="Arial" w:hAnsi="Arial" w:cs="Arial"/>
          <w:color w:val="19396C"/>
          <w:lang w:val="en-US"/>
        </w:rPr>
      </w:pPr>
      <w:r>
        <w:rPr>
          <w:rFonts w:ascii="Arial" w:hAnsi="Arial" w:cs="Arial"/>
          <w:color w:val="19396C"/>
          <w:sz w:val="26"/>
          <w:szCs w:val="26"/>
          <w:lang w:val="en-US"/>
        </w:rPr>
        <w:t>В дальнейшем, с целью активизации деятельности участковых уполномоченных полиции отдела МВД России по Нижегородскому району     г. Москвы необходимо:</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1.         Активизировать должным образом отработку жилого сектора, с целью достичь 100% и качественной отработки, в ходе которой обращать внимание пожилых граждан на возможные мошеннические проявления со стороны посторонних, постановку квартир под охранную сигнализацию, с целью предупреждения квартирных краж.</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2.   Провести анализ оперативной обстановки, складывающейся на административных участках, указав участковым уполномоченным на персональную ответственность в случае допущения ими тяжких и особо тяжких преступлений в жилом секторе на бытовой почве.</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3.   Считать одним из наиболее приоритетных направлений работы участковых уполномоченных полиции в жилом секторе с подучетным элементом, как с целью профилактики, так и выявления лиц, формально подпадающих под действие административного надзора, и недопущения ими повторных противоправных деяний.</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4.     Организовать и провести на территории района профилактические мероприятия, направленные на выявление преступлений двойной превенции, по результатам которых дать оценку каждому участковому уполномоченному полиции.</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5.         С целью обнаружения угнанного и похищенного автотранспорта продолжить работу по проверкам гаражных кооперативов и мест отстоя автотранспорта, ежедневно контролировать УУП о результатах проверки автотранспорта по системе «АВТОПОИСК».</w:t>
      </w:r>
    </w:p>
    <w:p w:rsidR="00872BB0" w:rsidRDefault="00872BB0" w:rsidP="00872BB0">
      <w:pPr>
        <w:widowControl w:val="0"/>
        <w:autoSpaceDE w:val="0"/>
        <w:autoSpaceDN w:val="0"/>
        <w:adjustRightInd w:val="0"/>
        <w:spacing w:after="300"/>
        <w:jc w:val="both"/>
        <w:rPr>
          <w:rFonts w:ascii="Arial" w:hAnsi="Arial" w:cs="Arial"/>
          <w:color w:val="19396C"/>
          <w:lang w:val="en-US"/>
        </w:rPr>
      </w:pP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Начальник ОУУП ОМВД России</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по Нижегородскому району</w:t>
      </w:r>
    </w:p>
    <w:p w:rsidR="00872BB0" w:rsidRDefault="00872BB0" w:rsidP="00872BB0">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г. Москвы</w:t>
      </w:r>
    </w:p>
    <w:p w:rsidR="00872BB0" w:rsidRDefault="00872BB0" w:rsidP="00872BB0">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майор полиции                                                                          Миронов С.В.</w:t>
      </w:r>
    </w:p>
    <w:p w:rsidR="009C473A" w:rsidRDefault="009C473A">
      <w:bookmarkStart w:id="0" w:name="_GoBack"/>
      <w:bookmarkEnd w:id="0"/>
    </w:p>
    <w:sectPr w:rsidR="009C473A" w:rsidSect="00257DDA">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B0"/>
    <w:rsid w:val="00872BB0"/>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1740</Words>
  <Characters>9920</Characters>
  <Application>Microsoft Macintosh Word</Application>
  <DocSecurity>0</DocSecurity>
  <Lines>82</Lines>
  <Paragraphs>23</Paragraphs>
  <ScaleCrop>false</ScaleCrop>
  <Company/>
  <LinksUpToDate>false</LinksUpToDate>
  <CharactersWithSpaces>11637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2013-03-18T09:35:00Z</dcterms:created>
  <dcterms:modified xsi:type="dcterms:W3CDTF">2013-03-18T09:36:00Z</dcterms:modified>
</cp:coreProperties>
</file>