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BD0" w:rsidRDefault="00C03BD0" w:rsidP="00C03BD0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b/>
          <w:bCs/>
          <w:color w:val="0E4EB2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E4EB2"/>
          <w:sz w:val="48"/>
          <w:szCs w:val="48"/>
          <w:lang w:val="en-US"/>
        </w:rPr>
        <w:t>ОТЧЕТ О РЕЗУЛЬТАТАХ РАБОТЫ ОУУП ОМВД РОССИИ ПО РАЙОНУ ТЕКСТИЛЬЩИКИ Г. МОСКВЫ ЗА 12 МЕСЯЦЕВ 2012 ГОДА</w:t>
      </w:r>
    </w:p>
    <w:p w:rsidR="00C03BD0" w:rsidRDefault="00C03BD0" w:rsidP="00C03BD0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На административной территории ОМВД России по району Текстильщики г. Москвы расположено 325 жилых домов, в которых находится 31240 квартир, из них коммунальные 1015 квартир, подъездов всего 970, охраняется консьержами 168, установлено видеокамер в подъездах 923, имеется подвалов 598, чердачных помещений 481, проживает на территории граждан пенсионного возраста 31760 человека (мужчины – 5014, женщины – 13943), несовершеннолетних: 15367 человек (дети до 18 лет), трудоспособного населения: женщины 32088 человек, мужчины 23236 человек, всего населения 102451 человек, осуществляют свою деятельность 42 домовых комитета, осуществляют свою деятельность зарегистрированные частные охранные предприятия: 17.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Всего 11 школ, из них 2 школы-интернат, 1 центр образования. 23 спортивные площадки.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     Также на территории района расположены 15 мест общественного питания, 1 спортивно развлекательное учреждение, 1 культурно-развлекательное учреждение. Имеется 9 объектов промышленности, повышенной опасности и жизнеобеспечения: Люблинский телефонный узел, Газораспределительная станция, Метрополитен – ст. метро Текстильщики (1-2 выход, 2 выхода) шахта ВК-626, МКС – Филиал Мосэнерго, Юго-Восточная насосная станция, Филиал Люблинского телефонного узла.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- 2 гостиницы ОАО гостиница «Москвич, ГУП «Люблинский рынок-гостиница».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- 9 медицинских учреждений, 17 аптечных киосков.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- 2 выселенного здания – Чистова ул., д. 10, Саратовская ул., д. 16, корп. 2,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- 5 строительных площадок.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- 2 полиграфических предприятия – Московское аэрогеодезическое предприятие Топографическое производство, ФГУП ПКО «Картография».</w:t>
      </w:r>
    </w:p>
    <w:p w:rsidR="00C03BD0" w:rsidRDefault="00C03BD0" w:rsidP="00C03BD0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Штатная численность участковых уполномоченных полиции ОМВД России по району Текстильщики г. Москвы (включая старших УУП) составляет 20 человек, из которых 1 начальник ОУУП (вакансия), 1- заместитель начальника ОУУП. Некомплект УУП составляет 2 сотрудника (1 из которых ст. УУП, 1 нач. ОУУП</w:t>
      </w:r>
    </w:p>
    <w:p w:rsidR="00C03BD0" w:rsidRDefault="00C03BD0" w:rsidP="00C03BD0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Работают в должности: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- до 1 года 4 сотрудников; - от 1 до 3 лет – 3 сотрудника; - от 3 до 5 лет – 2 сотрудников; - от 5 до 10 лет – 6 сотрудников; - от 10 до 20 лет – 3 сотрудник.</w:t>
      </w:r>
    </w:p>
    <w:p w:rsidR="00C03BD0" w:rsidRDefault="00C03BD0" w:rsidP="00C03BD0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Имеют высшее образование – 8 сотрудников, имеют юридическое образование – 10 сотрудников, обучающихся в ВУЗах – 2 сотрудника.</w:t>
      </w:r>
    </w:p>
    <w:p w:rsidR="00C03BD0" w:rsidRDefault="00C03BD0" w:rsidP="00C03BD0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За 11 месяцев 2012 года на территории района было совершено 318 преступление (АППГ 2011 год - 297). Рост по сравнению с аналогичным периодом прошлого года составил 7,1 %. 293 преступления относятся к категории тяжких и 25 к категории особо тяжких преступлений, что составляет 2,1% и 150 % от общего 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lastRenderedPageBreak/>
        <w:t>числа совершенных.</w:t>
      </w:r>
    </w:p>
    <w:p w:rsidR="00C03BD0" w:rsidRDefault="00C03BD0" w:rsidP="00C03BD0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 </w:t>
      </w:r>
    </w:p>
    <w:p w:rsidR="00C03BD0" w:rsidRDefault="00C03BD0" w:rsidP="00C03BD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lang w:val="en-US"/>
        </w:rPr>
        <w:t>1.Раскрытие преступлений:</w:t>
      </w:r>
    </w:p>
    <w:p w:rsidR="00C03BD0" w:rsidRDefault="00C03BD0" w:rsidP="00C03BD0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За отчетный период времени службой ОУУП было раскрыто</w:t>
      </w: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73</w:t>
      </w:r>
      <w:r>
        <w:rPr>
          <w:rFonts w:ascii="Times New Roman" w:hAnsi="Times New Roman" w:cs="Times New Roman"/>
          <w:color w:val="F4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совершенных преступлений из числа </w:t>
      </w:r>
      <w:r>
        <w:rPr>
          <w:rFonts w:ascii="Times New Roman" w:hAnsi="Times New Roman" w:cs="Times New Roman"/>
          <w:color w:val="19396C"/>
          <w:sz w:val="26"/>
          <w:szCs w:val="26"/>
          <w:u w:val="single"/>
          <w:lang w:val="en-US"/>
        </w:rPr>
        <w:t>направленных в суд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 (АППГ 77), нагрузка на одного УУП составила 3,48 преступления (от штатного расписания), что составляет 9</w:t>
      </w:r>
      <w:r>
        <w:rPr>
          <w:rFonts w:ascii="Times New Roman" w:hAnsi="Times New Roman" w:cs="Times New Roman"/>
          <w:color w:val="F4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место по УВД в среднем показателе, при этом следует учитывать, что согласно поданных данных УВД значится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21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сотрудник, при штатной численности </w:t>
      </w: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u w:val="single"/>
          <w:lang w:val="en-US"/>
        </w:rPr>
        <w:t>20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 сотрудников.</w:t>
      </w:r>
    </w:p>
    <w:p w:rsidR="00C03BD0" w:rsidRDefault="00C03BD0" w:rsidP="00C03BD0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lang w:val="en-US"/>
        </w:rPr>
        <w:t xml:space="preserve">Количество раскрытых преступлений из числа </w:t>
      </w: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u w:val="single"/>
          <w:lang w:val="en-US"/>
        </w:rPr>
        <w:t>находящихся в суде</w:t>
      </w: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lang w:val="en-US"/>
        </w:rPr>
        <w:t>: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500"/>
        <w:gridCol w:w="1300"/>
        <w:gridCol w:w="7320"/>
      </w:tblGrid>
      <w:tr w:rsidR="00C03BD0">
        <w:tblPrEx>
          <w:tblCellMar>
            <w:top w:w="0" w:type="dxa"/>
            <w:bottom w:w="0" w:type="dxa"/>
          </w:tblCellMar>
        </w:tblPrEx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Губин С.В.</w:t>
            </w:r>
          </w:p>
        </w:tc>
        <w:tc>
          <w:tcPr>
            <w:tcW w:w="13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3</w:t>
            </w:r>
          </w:p>
        </w:tc>
        <w:tc>
          <w:tcPr>
            <w:tcW w:w="7320" w:type="dxa"/>
            <w:tcBorders>
              <w:top w:val="single" w:sz="8" w:space="0" w:color="6D6D6D"/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112, 161ч2 «а», 115 УК РФ</w:t>
            </w:r>
          </w:p>
        </w:tc>
      </w:tr>
      <w:tr w:rsidR="00C03B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Ефимчук И.И.</w:t>
            </w:r>
          </w:p>
        </w:tc>
        <w:tc>
          <w:tcPr>
            <w:tcW w:w="1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3</w:t>
            </w:r>
          </w:p>
        </w:tc>
        <w:tc>
          <w:tcPr>
            <w:tcW w:w="73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158 ч2 «б» 30ч3 , 119, 116 УК РФ</w:t>
            </w:r>
          </w:p>
        </w:tc>
      </w:tr>
      <w:tr w:rsidR="00C03B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Тихонов М.А.</w:t>
            </w:r>
          </w:p>
        </w:tc>
        <w:tc>
          <w:tcPr>
            <w:tcW w:w="1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3</w:t>
            </w:r>
          </w:p>
        </w:tc>
        <w:tc>
          <w:tcPr>
            <w:tcW w:w="73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119, 2-116 УК РФ</w:t>
            </w:r>
          </w:p>
        </w:tc>
      </w:tr>
      <w:tr w:rsidR="00C03B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Матрошилов В.А.</w:t>
            </w:r>
          </w:p>
        </w:tc>
        <w:tc>
          <w:tcPr>
            <w:tcW w:w="1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2</w:t>
            </w:r>
          </w:p>
        </w:tc>
        <w:tc>
          <w:tcPr>
            <w:tcW w:w="73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119, 158 ч3 «а» УК РФ</w:t>
            </w:r>
          </w:p>
        </w:tc>
      </w:tr>
      <w:tr w:rsidR="00C03B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Ермакова Е.В.</w:t>
            </w:r>
          </w:p>
        </w:tc>
        <w:tc>
          <w:tcPr>
            <w:tcW w:w="1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8</w:t>
            </w:r>
          </w:p>
        </w:tc>
        <w:tc>
          <w:tcPr>
            <w:tcW w:w="73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158 ч2 «в», 5 - 119, 2-116 УК РФ</w:t>
            </w:r>
          </w:p>
        </w:tc>
      </w:tr>
      <w:tr w:rsidR="00C03B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Крохин Ю.В.</w:t>
            </w:r>
          </w:p>
        </w:tc>
        <w:tc>
          <w:tcPr>
            <w:tcW w:w="1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6</w:t>
            </w:r>
          </w:p>
        </w:tc>
        <w:tc>
          <w:tcPr>
            <w:tcW w:w="73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3-116, 3-119 УК РФ</w:t>
            </w:r>
          </w:p>
        </w:tc>
      </w:tr>
      <w:tr w:rsidR="00C03B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Журавлев В.В.</w:t>
            </w:r>
          </w:p>
        </w:tc>
        <w:tc>
          <w:tcPr>
            <w:tcW w:w="1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13</w:t>
            </w:r>
          </w:p>
        </w:tc>
        <w:tc>
          <w:tcPr>
            <w:tcW w:w="73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8 – 119 УК РФ, 5 – 116 УК РФ</w:t>
            </w:r>
          </w:p>
        </w:tc>
      </w:tr>
      <w:tr w:rsidR="00C03B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Трещалин А.А.</w:t>
            </w:r>
          </w:p>
        </w:tc>
        <w:tc>
          <w:tcPr>
            <w:tcW w:w="1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4</w:t>
            </w:r>
          </w:p>
        </w:tc>
        <w:tc>
          <w:tcPr>
            <w:tcW w:w="73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119, 2- 116, 111 УК РФ</w:t>
            </w:r>
          </w:p>
        </w:tc>
      </w:tr>
      <w:tr w:rsidR="00C03B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Шляпин И.Е.</w:t>
            </w:r>
          </w:p>
        </w:tc>
        <w:tc>
          <w:tcPr>
            <w:tcW w:w="1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5</w:t>
            </w:r>
          </w:p>
        </w:tc>
        <w:tc>
          <w:tcPr>
            <w:tcW w:w="73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2-116, 3-119 УК РФ</w:t>
            </w:r>
          </w:p>
        </w:tc>
      </w:tr>
      <w:tr w:rsidR="00C03B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Григорьев А.Н.</w:t>
            </w:r>
          </w:p>
        </w:tc>
        <w:tc>
          <w:tcPr>
            <w:tcW w:w="1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14</w:t>
            </w:r>
          </w:p>
        </w:tc>
        <w:tc>
          <w:tcPr>
            <w:tcW w:w="73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158 ч1 30ч3, 8- 119, 5- 116 УК РФ</w:t>
            </w:r>
          </w:p>
        </w:tc>
      </w:tr>
      <w:tr w:rsidR="00C03B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Бузин А.С.</w:t>
            </w:r>
          </w:p>
        </w:tc>
        <w:tc>
          <w:tcPr>
            <w:tcW w:w="1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4</w:t>
            </w:r>
          </w:p>
        </w:tc>
        <w:tc>
          <w:tcPr>
            <w:tcW w:w="73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167, 213 ч1«а», 116, 158ч1 УК РФ</w:t>
            </w:r>
          </w:p>
        </w:tc>
      </w:tr>
      <w:tr w:rsidR="00C03B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Кубышкин И.Н.</w:t>
            </w:r>
          </w:p>
        </w:tc>
        <w:tc>
          <w:tcPr>
            <w:tcW w:w="1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4</w:t>
            </w:r>
          </w:p>
        </w:tc>
        <w:tc>
          <w:tcPr>
            <w:tcW w:w="73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2-158, 119, 116 УК РФ</w:t>
            </w:r>
          </w:p>
        </w:tc>
      </w:tr>
      <w:tr w:rsidR="00C03B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Татаренко С.Н.</w:t>
            </w:r>
          </w:p>
        </w:tc>
        <w:tc>
          <w:tcPr>
            <w:tcW w:w="1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2</w:t>
            </w:r>
          </w:p>
        </w:tc>
        <w:tc>
          <w:tcPr>
            <w:tcW w:w="73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119, 1-116 УК РФ</w:t>
            </w:r>
          </w:p>
        </w:tc>
      </w:tr>
      <w:tr w:rsidR="00C03BD0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35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Носов С.А.</w:t>
            </w:r>
          </w:p>
        </w:tc>
        <w:tc>
          <w:tcPr>
            <w:tcW w:w="13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4</w:t>
            </w:r>
          </w:p>
        </w:tc>
        <w:tc>
          <w:tcPr>
            <w:tcW w:w="73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03BD0" w:rsidRDefault="00C03B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Times New Roman" w:hAnsi="Times New Roman" w:cs="Times New Roman"/>
                <w:color w:val="19396C"/>
                <w:sz w:val="26"/>
                <w:szCs w:val="26"/>
                <w:lang w:val="en-US"/>
              </w:rPr>
              <w:t>158, 2- 162ч2, 161ч1 30ч3 УК РФ</w:t>
            </w:r>
          </w:p>
        </w:tc>
      </w:tr>
    </w:tbl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Лучшие результаты по раскрытию преступлений имеют: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В декабре месяце текущего года сработали по раскрытию преступлений УУП Григорьев А.Н., ст. УУП Крохин Ю.В., УУП Ермакова Е.В., УУП Шляпин И.Е., так же собраны и направлены в ОД материалы по признакам состава преступления УУП Ефимчук И.И., Крохин Ю.В.</w:t>
      </w:r>
    </w:p>
    <w:p w:rsidR="00C03BD0" w:rsidRDefault="00C03BD0" w:rsidP="00C03BD0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Плохо сработали: Матрошилов В.А. Татаренко С.Н.</w:t>
      </w:r>
      <w:r>
        <w:rPr>
          <w:rFonts w:ascii="Times New Roman" w:hAnsi="Times New Roman" w:cs="Times New Roman"/>
          <w:color w:val="AC3C3A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раскрыв только 2 преступления в 2012 году по итогам за 12 месяцев.</w:t>
      </w:r>
    </w:p>
    <w:p w:rsidR="00C03BD0" w:rsidRDefault="00C03BD0" w:rsidP="00C03BD0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Налажено взаимодействие с администрацией магазинов и торговых центров по предоставлению ими информации о гражданах вынашивающих намерение в совершении преступления.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В настоящий период времени в производстве ОД ОМВД имеется 5 материалов с фигурантами. </w:t>
      </w:r>
    </w:p>
    <w:p w:rsidR="00C03BD0" w:rsidRDefault="00C03BD0" w:rsidP="00C03BD0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На территории района проживают и зарегистрированы лица ранее судимые – 1096 человек, 329 граждан состоят на профилактических учетах, на административном надзоре состоит 4 гражданина, а так же 25 человек формально подпадают под действие административного надзора, в данном случае нагрузка на 1 УУП составляет – 79 граждан.</w:t>
      </w:r>
    </w:p>
    <w:p w:rsidR="00C03BD0" w:rsidRDefault="00C03BD0" w:rsidP="00C03BD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3.Применение административного законодательства:</w:t>
      </w:r>
    </w:p>
    <w:p w:rsidR="00C03BD0" w:rsidRDefault="00C03BD0" w:rsidP="00C03BD0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С начала текущего года сотрудниками ОУУП составлено                               </w:t>
      </w: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lang w:val="en-US"/>
        </w:rPr>
        <w:t xml:space="preserve">697 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административных протоколов за различные правонарушения (АППГ 844).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75 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протоколов направлено на рассмотрение в Управу района и 20 протоколов в Префектуру ЮВАО (АППГ – 64/13). Взыскиваемость штрафов по составленным административным протоколам составляет </w:t>
      </w:r>
      <w:r>
        <w:rPr>
          <w:rFonts w:ascii="Times New Roman" w:hAnsi="Times New Roman" w:cs="Times New Roman"/>
          <w:color w:val="EE8527"/>
          <w:sz w:val="26"/>
          <w:szCs w:val="26"/>
          <w:lang w:val="en-US"/>
        </w:rPr>
        <w:t xml:space="preserve">93,3 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(АППГ – 88,8%). Ведется работа по пресечению несанкционированной торговли на территории района города Москвы, также ведется работа по выявлению торговых павильонов, нарушающих правила торговли алкогольной продукцией.  </w:t>
      </w:r>
    </w:p>
    <w:p w:rsidR="00C03BD0" w:rsidRDefault="00C03BD0" w:rsidP="00C03BD0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Лучший результат по данному направлению имеет УУП А.А. Трещалин, М.А. Тихонов, И.Е. Шляпин - 92-97 протоколов.</w:t>
      </w:r>
    </w:p>
    <w:p w:rsidR="00C03BD0" w:rsidRDefault="00C03BD0" w:rsidP="00C03BD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4.Профилактическая работа с подучетным элементом:</w:t>
      </w:r>
    </w:p>
    <w:p w:rsidR="00C03BD0" w:rsidRDefault="00C03BD0" w:rsidP="00C03BD0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Отработаны полученные сведения по лицам состоящим на различных учетах - 357 человек. Также получены списки лиц, из числа ранее судимых за совершение тяжких и особо тяжких преступлений, из числа которых направлено 6 материалов в суд на установление административного надзора.</w:t>
      </w:r>
    </w:p>
    <w:p w:rsidR="00C03BD0" w:rsidRDefault="00C03BD0" w:rsidP="00C03BD0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Подготовлены и направлены письма в ЗИЦ для снятия с учета на 189 граждан, в связи с погашением судимости, а также смертью.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    На территории района Текстильщики г. Москвы зарегистрировано </w:t>
      </w: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lang w:val="en-US"/>
        </w:rPr>
        <w:t xml:space="preserve">43 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граждан из числа </w:t>
      </w:r>
      <w:r>
        <w:rPr>
          <w:rFonts w:ascii="Times New Roman" w:hAnsi="Times New Roman" w:cs="Times New Roman"/>
          <w:i/>
          <w:iCs/>
          <w:color w:val="19396C"/>
          <w:sz w:val="26"/>
          <w:szCs w:val="26"/>
          <w:lang w:val="en-US"/>
        </w:rPr>
        <w:t>условно осужденных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 (без отбывания наказания в местах лишения свободы);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lang w:val="en-US"/>
        </w:rPr>
        <w:t>4 граждан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, состоящих на административном надзоре (а именно А.Ю. Туцевич и Г.В. Никулин, В.К. Алимов, С.Н. Авдеев).;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lang w:val="en-US"/>
        </w:rPr>
        <w:t>15 лиц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 из числа формально попадающих под действие административного надзора;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 Ранее судимых наркоманов – </w:t>
      </w: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lang w:val="en-US"/>
        </w:rPr>
        <w:t>112</w:t>
      </w:r>
      <w:r>
        <w:rPr>
          <w:rFonts w:ascii="Times New Roman" w:hAnsi="Times New Roman" w:cs="Times New Roman"/>
          <w:color w:val="AC3C3A"/>
          <w:sz w:val="26"/>
          <w:szCs w:val="26"/>
          <w:lang w:val="en-US"/>
        </w:rPr>
        <w:t>        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 входящие в неформальные объединения (группировки) и организации противоправной направленности, всего </w:t>
      </w: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lang w:val="en-US"/>
        </w:rPr>
        <w:t xml:space="preserve">52 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человека, из них: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- молодежное объединение «скинхеды» - всего </w:t>
      </w: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lang w:val="en-US"/>
        </w:rPr>
        <w:t>12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 лиц: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- лица, входящие в состав неформальных молодежных организаций – всего </w:t>
      </w: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lang w:val="en-US"/>
        </w:rPr>
        <w:t>7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 лиц: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- националисты или распространители литературы националистического характера – всего </w:t>
      </w: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 лица: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- объединение леворадикальной направленности (Авангард коммунистической молодежи, Левый фронт, Авангард красной молодежи и аналогичные) – всего </w:t>
      </w: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lang w:val="en-US"/>
        </w:rPr>
        <w:t>11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 лиц: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- группировки футбольных фанатов – всего </w:t>
      </w: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lang w:val="en-US"/>
        </w:rPr>
        <w:t>32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 лица: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- лица, допускающие правонарушение при проведении спортивно-массовых мероприятий – всего </w:t>
      </w: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lang w:val="en-US"/>
        </w:rPr>
        <w:t>4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 лица: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          Лиц, допускающих правонарушения при проведении культурно-массовых мероприятий, при проведении общественно-политических мероприятий, а также лиц, входящих в состав объединений с фашисткой символикой, на территории ОМВД не проживает.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         В задачи участковых уполномоченных полиции входит проверка подучетного элемента с проведением профилактической работы и отражением результатов в накопительном делопроизводстве.</w:t>
      </w:r>
    </w:p>
    <w:p w:rsidR="00C03BD0" w:rsidRDefault="00C03BD0" w:rsidP="00C03BD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lang w:val="en-US"/>
        </w:rPr>
        <w:t>5. Отработка жилого сектора:</w:t>
      </w:r>
    </w:p>
    <w:p w:rsidR="00C03BD0" w:rsidRDefault="00C03BD0" w:rsidP="00C03BD0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На территории района расположено 325 жилых домов, в которых 31240 квартир, из них коммунальные 1015 квартир, подъездов всего 970, охраняется консьержами 168, установлено видеокамер в подъездах 923, имеется подвалов 598, чердачных помещений 481, проживает на территории граждан 102451 человек. Отработано 97,3 % что составляет 30396 квартиры.</w:t>
      </w:r>
    </w:p>
    <w:p w:rsidR="00C03BD0" w:rsidRDefault="00C03BD0" w:rsidP="00C03BD0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Также при отработке жилого сектора жителям домов оставляется контактная информация для связи с участковым уполномоченным полиции и Дежурной частью ОМВД. Проводятся профилактические беседы со старшими по домам и подъездам.</w:t>
      </w:r>
    </w:p>
    <w:p w:rsidR="00C03BD0" w:rsidRDefault="00C03BD0" w:rsidP="00C03BD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lang w:val="en-US"/>
        </w:rPr>
        <w:t>6.Постановка квартир на ПЦО (охранную сигнализацию)</w:t>
      </w:r>
    </w:p>
    <w:p w:rsidR="00C03BD0" w:rsidRDefault="00C03BD0" w:rsidP="00C03BD0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В отчетном периоде участковыми уполномоченными ОМВД России по району Текстильщики г. Москвы во время отработки жилого сектора в ходе бесед с гражданами на предмет постановки квартир на охранную сигнализацию было принято и направлено в ФГУП «Охрана» 68 заявлений о постановке помещений под охрану, с выводом на пульт централизованной охраны УВО.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         На сегодняшний день стоимость подключения под охрану одной двери составляет 24000 рублей, ежемесячная плата 309 рублей. В связи с чем граждане неохотно желают воспользоваться данной услугой. Проводятся беседы с владельцами оружия.</w:t>
      </w:r>
    </w:p>
    <w:p w:rsidR="00C03BD0" w:rsidRDefault="00C03BD0" w:rsidP="00C03BD0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19396C"/>
          <w:sz w:val="26"/>
          <w:szCs w:val="26"/>
          <w:lang w:val="en-US"/>
        </w:rPr>
        <w:t>7.Установление доверительных отношений с гражданами: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     Важное значение для УУП имеет установление доверительных отношений с гражданами с целью дальнейшего их использования при выполнении оперативно-служебных задач (что регламентируется 751 приказом). На начало года у УУП имелось 375 доверенных лица. Это в основном старшие по домам и подъездам, сотрудники гаражей и автостоянок, другие граждане, способные давать информацию о правонарушениях, лицах возможно замышляющих совершение преступлений, в том числе террористических актов, а также связанных с незаконным завладением автотранспорта.</w:t>
      </w:r>
    </w:p>
    <w:p w:rsidR="00C03BD0" w:rsidRDefault="00C03BD0" w:rsidP="00C03BD0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 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 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Заместитель начальника ОУУП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Отдела МВД России по району Текстильщики г. Москвы</w:t>
      </w:r>
    </w:p>
    <w:p w:rsidR="00C03BD0" w:rsidRDefault="00C03BD0" w:rsidP="00C03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майор полиции                                                                              А.М. Манузин</w:t>
      </w:r>
    </w:p>
    <w:p w:rsidR="009C473A" w:rsidRDefault="00C03BD0" w:rsidP="00C03BD0"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>«___» _______ 2012 год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upp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upp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upp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upp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upp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upp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BD0"/>
    <w:rsid w:val="009C473A"/>
    <w:rsid w:val="00C0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1394</Words>
  <Characters>7949</Characters>
  <Application>Microsoft Macintosh Word</Application>
  <DocSecurity>0</DocSecurity>
  <Lines>66</Lines>
  <Paragraphs>18</Paragraphs>
  <ScaleCrop>false</ScaleCrop>
  <Company/>
  <LinksUpToDate>false</LinksUpToDate>
  <CharactersWithSpaces>9325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2013-03-18T09:31:00Z</dcterms:created>
  <dcterms:modified xsi:type="dcterms:W3CDTF">2013-03-18T09:31:00Z</dcterms:modified>
</cp:coreProperties>
</file>