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ackage" ContentType="application/vnd.openxmlformats-officedocument.package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F60" w:rsidRDefault="00F50F60" w:rsidP="00F50F60">
      <w:pPr>
        <w:pStyle w:val="2"/>
        <w:spacing w:after="0" w:line="240" w:lineRule="auto"/>
        <w:rPr>
          <w:b/>
          <w:sz w:val="28"/>
          <w:szCs w:val="28"/>
          <w:lang w:val="en-US"/>
        </w:rPr>
      </w:pPr>
      <w:r w:rsidRPr="00F50F60">
        <w:rPr>
          <w:b/>
          <w:sz w:val="28"/>
          <w:szCs w:val="28"/>
        </w:rPr>
        <w:t xml:space="preserve">Информационно-аналитическая записка к отчету начальника Отдела МВД России по району </w:t>
      </w:r>
      <w:r w:rsidRPr="00F50F60">
        <w:rPr>
          <w:b/>
          <w:color w:val="404040"/>
          <w:sz w:val="28"/>
          <w:szCs w:val="28"/>
        </w:rPr>
        <w:t xml:space="preserve">Раменки </w:t>
      </w:r>
      <w:proofErr w:type="gramStart"/>
      <w:r w:rsidRPr="00F50F60">
        <w:rPr>
          <w:b/>
          <w:sz w:val="28"/>
          <w:szCs w:val="28"/>
        </w:rPr>
        <w:t>г</w:t>
      </w:r>
      <w:proofErr w:type="gramEnd"/>
      <w:r w:rsidRPr="00F50F60">
        <w:rPr>
          <w:b/>
          <w:sz w:val="28"/>
          <w:szCs w:val="28"/>
        </w:rPr>
        <w:t xml:space="preserve">. Москвы перед представителями муниципального округа: «Об итогах оперативно-служебной деятельности Отдела МВД России по району </w:t>
      </w:r>
      <w:r w:rsidRPr="00F50F60">
        <w:rPr>
          <w:b/>
          <w:color w:val="404040"/>
          <w:sz w:val="28"/>
          <w:szCs w:val="28"/>
        </w:rPr>
        <w:t xml:space="preserve">Раменки </w:t>
      </w:r>
      <w:proofErr w:type="gramStart"/>
      <w:r w:rsidRPr="00F50F60">
        <w:rPr>
          <w:b/>
          <w:sz w:val="28"/>
          <w:szCs w:val="28"/>
        </w:rPr>
        <w:t>г</w:t>
      </w:r>
      <w:proofErr w:type="gramEnd"/>
      <w:r w:rsidRPr="00F50F60">
        <w:rPr>
          <w:b/>
          <w:sz w:val="28"/>
          <w:szCs w:val="28"/>
        </w:rPr>
        <w:t xml:space="preserve">. Москвы </w:t>
      </w:r>
    </w:p>
    <w:p w:rsidR="00F50F60" w:rsidRPr="00F50F60" w:rsidRDefault="00F50F60" w:rsidP="00F50F60">
      <w:pPr>
        <w:pStyle w:val="2"/>
        <w:spacing w:after="0" w:line="240" w:lineRule="auto"/>
        <w:rPr>
          <w:b/>
          <w:sz w:val="28"/>
          <w:szCs w:val="28"/>
        </w:rPr>
      </w:pPr>
      <w:r w:rsidRPr="00F50F60">
        <w:rPr>
          <w:b/>
          <w:sz w:val="28"/>
          <w:szCs w:val="28"/>
        </w:rPr>
        <w:t>за 12 месяцев 2014 года»</w:t>
      </w:r>
    </w:p>
    <w:p w:rsidR="002401F0" w:rsidRPr="00D331CA" w:rsidRDefault="002401F0" w:rsidP="003A729D">
      <w:pPr>
        <w:ind w:firstLine="720"/>
        <w:contextualSpacing/>
        <w:jc w:val="both"/>
        <w:rPr>
          <w:color w:val="404040"/>
          <w:sz w:val="28"/>
          <w:szCs w:val="28"/>
        </w:rPr>
      </w:pPr>
    </w:p>
    <w:p w:rsidR="00370193" w:rsidRPr="00D331CA" w:rsidRDefault="00176E9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Довожу</w:t>
      </w:r>
      <w:r w:rsidR="00370193" w:rsidRPr="00D331CA">
        <w:rPr>
          <w:color w:val="404040"/>
          <w:sz w:val="28"/>
          <w:szCs w:val="28"/>
        </w:rPr>
        <w:t xml:space="preserve"> до вашего сведения результаты оперативно-служебной деятельности Отдела МВД России по району Раменки </w:t>
      </w:r>
      <w:proofErr w:type="gramStart"/>
      <w:r w:rsidR="00370193" w:rsidRPr="00D331CA">
        <w:rPr>
          <w:color w:val="404040"/>
          <w:sz w:val="28"/>
          <w:szCs w:val="28"/>
        </w:rPr>
        <w:t>г</w:t>
      </w:r>
      <w:proofErr w:type="gramEnd"/>
      <w:r w:rsidR="00370193" w:rsidRPr="00D331CA">
        <w:rPr>
          <w:color w:val="404040"/>
          <w:sz w:val="28"/>
          <w:szCs w:val="28"/>
        </w:rPr>
        <w:t xml:space="preserve">. Москвы, </w:t>
      </w:r>
      <w:r w:rsidRPr="00D331CA">
        <w:rPr>
          <w:color w:val="404040"/>
          <w:sz w:val="28"/>
          <w:szCs w:val="28"/>
        </w:rPr>
        <w:t>а также</w:t>
      </w:r>
      <w:r w:rsidR="00370193" w:rsidRPr="00D331CA">
        <w:rPr>
          <w:color w:val="404040"/>
          <w:sz w:val="28"/>
          <w:szCs w:val="28"/>
        </w:rPr>
        <w:t xml:space="preserve"> складывающуюся на территории района Раменки криминогенную обстановку</w:t>
      </w:r>
      <w:r w:rsidRPr="00D331CA">
        <w:rPr>
          <w:color w:val="404040"/>
          <w:sz w:val="28"/>
          <w:szCs w:val="28"/>
        </w:rPr>
        <w:t xml:space="preserve">. </w:t>
      </w:r>
      <w:r w:rsidR="00A554CC" w:rsidRPr="00D331CA">
        <w:rPr>
          <w:color w:val="404040"/>
          <w:sz w:val="28"/>
          <w:szCs w:val="28"/>
        </w:rPr>
        <w:t>Прошу после отчета ус</w:t>
      </w:r>
      <w:r w:rsidR="00370193" w:rsidRPr="00D331CA">
        <w:rPr>
          <w:color w:val="404040"/>
          <w:sz w:val="28"/>
          <w:szCs w:val="28"/>
        </w:rPr>
        <w:t>л</w:t>
      </w:r>
      <w:r w:rsidR="00A554CC" w:rsidRPr="00D331CA">
        <w:rPr>
          <w:color w:val="404040"/>
          <w:sz w:val="28"/>
          <w:szCs w:val="28"/>
        </w:rPr>
        <w:t>ы</w:t>
      </w:r>
      <w:r w:rsidR="00370193" w:rsidRPr="00D331CA">
        <w:rPr>
          <w:color w:val="404040"/>
          <w:sz w:val="28"/>
          <w:szCs w:val="28"/>
        </w:rPr>
        <w:t>шать предложения направленные на повышение доверия населения и улучшение наших результатов в работе.</w:t>
      </w:r>
    </w:p>
    <w:p w:rsidR="00AC2A0A" w:rsidRPr="00D331CA" w:rsidRDefault="00370193" w:rsidP="003A729D">
      <w:pPr>
        <w:shd w:val="clear" w:color="auto" w:fill="FFFFFF"/>
        <w:ind w:left="19" w:right="5" w:firstLine="540"/>
        <w:contextualSpacing/>
        <w:jc w:val="both"/>
        <w:rPr>
          <w:color w:val="404040"/>
          <w:sz w:val="28"/>
          <w:szCs w:val="28"/>
        </w:rPr>
      </w:pPr>
      <w:proofErr w:type="gramStart"/>
      <w:r w:rsidRPr="00D331CA">
        <w:rPr>
          <w:color w:val="404040"/>
          <w:sz w:val="28"/>
          <w:szCs w:val="28"/>
        </w:rPr>
        <w:t xml:space="preserve">Состояние криминогенной обстановки в районе Раменки за 2014 год характеризуется увеличением на </w:t>
      </w:r>
      <w:r w:rsidR="009E56D0" w:rsidRPr="00D331CA">
        <w:rPr>
          <w:color w:val="404040"/>
          <w:sz w:val="28"/>
          <w:szCs w:val="28"/>
        </w:rPr>
        <w:t>2933</w:t>
      </w:r>
      <w:r w:rsidR="00AC2A0A" w:rsidRPr="00D331CA">
        <w:rPr>
          <w:color w:val="404040"/>
          <w:sz w:val="28"/>
          <w:szCs w:val="28"/>
        </w:rPr>
        <w:t xml:space="preserve"> зарегистрированных заявлений, </w:t>
      </w:r>
      <w:r w:rsidR="009E56D0" w:rsidRPr="00D331CA">
        <w:rPr>
          <w:color w:val="404040"/>
          <w:sz w:val="28"/>
          <w:szCs w:val="28"/>
        </w:rPr>
        <w:t xml:space="preserve">сообщений </w:t>
      </w:r>
      <w:r w:rsidR="00AC2A0A" w:rsidRPr="00D331CA">
        <w:rPr>
          <w:color w:val="404040"/>
          <w:sz w:val="28"/>
          <w:szCs w:val="28"/>
        </w:rPr>
        <w:t>и иной информации о противоправных действиях</w:t>
      </w:r>
      <w:r w:rsidR="009E56D0" w:rsidRPr="00D331CA">
        <w:rPr>
          <w:color w:val="404040"/>
          <w:sz w:val="28"/>
          <w:szCs w:val="28"/>
        </w:rPr>
        <w:t xml:space="preserve"> (с 20297 до 23230), при этом наблюдается значительный рост на 145 или 9,9% количества зарегистрированных преступлений (с 1471 до 1616)</w:t>
      </w:r>
      <w:r w:rsidR="00AC2A0A" w:rsidRPr="00D331CA">
        <w:rPr>
          <w:color w:val="404040"/>
          <w:sz w:val="28"/>
          <w:szCs w:val="28"/>
        </w:rPr>
        <w:t xml:space="preserve">, из которых: </w:t>
      </w:r>
      <w:r w:rsidR="00AC2A0A" w:rsidRPr="00D331CA">
        <w:rPr>
          <w:color w:val="404040"/>
          <w:spacing w:val="1"/>
          <w:sz w:val="28"/>
          <w:szCs w:val="28"/>
        </w:rPr>
        <w:t xml:space="preserve"> </w:t>
      </w:r>
      <w:r w:rsidR="00AC2A0A" w:rsidRPr="00D331CA">
        <w:rPr>
          <w:color w:val="404040"/>
          <w:sz w:val="28"/>
          <w:szCs w:val="28"/>
        </w:rPr>
        <w:t xml:space="preserve">452  (+22,2 %;  2013 год – 370) - </w:t>
      </w:r>
      <w:r w:rsidR="00AC2A0A" w:rsidRPr="00D331CA">
        <w:rPr>
          <w:color w:val="404040"/>
          <w:spacing w:val="1"/>
          <w:sz w:val="28"/>
          <w:szCs w:val="28"/>
        </w:rPr>
        <w:t xml:space="preserve">тяжких и </w:t>
      </w:r>
      <w:r w:rsidR="00AC2A0A" w:rsidRPr="00D331CA">
        <w:rPr>
          <w:bCs/>
          <w:color w:val="404040"/>
          <w:spacing w:val="1"/>
          <w:sz w:val="28"/>
          <w:szCs w:val="28"/>
        </w:rPr>
        <w:t>особо тяжких, 514</w:t>
      </w:r>
      <w:r w:rsidR="00AC2A0A" w:rsidRPr="00D331CA">
        <w:rPr>
          <w:color w:val="404040"/>
          <w:sz w:val="28"/>
          <w:szCs w:val="28"/>
        </w:rPr>
        <w:t xml:space="preserve">  (-15,7 %;</w:t>
      </w:r>
      <w:proofErr w:type="gramEnd"/>
      <w:r w:rsidR="00AC2A0A" w:rsidRPr="00D331CA">
        <w:rPr>
          <w:color w:val="404040"/>
          <w:sz w:val="28"/>
          <w:szCs w:val="28"/>
        </w:rPr>
        <w:t xml:space="preserve">  </w:t>
      </w:r>
      <w:proofErr w:type="gramStart"/>
      <w:r w:rsidR="00AC2A0A" w:rsidRPr="00D331CA">
        <w:rPr>
          <w:color w:val="404040"/>
          <w:sz w:val="28"/>
          <w:szCs w:val="28"/>
        </w:rPr>
        <w:t>2013 год – 610)</w:t>
      </w:r>
      <w:r w:rsidR="00D9449D" w:rsidRPr="00D331CA">
        <w:rPr>
          <w:color w:val="404040"/>
          <w:sz w:val="28"/>
          <w:szCs w:val="28"/>
        </w:rPr>
        <w:t xml:space="preserve"> – небольшой тяжести, 650  (+32,4 %;  2013 год – 491) –</w:t>
      </w:r>
      <w:r w:rsidR="00AC2A0A" w:rsidRPr="00D331CA">
        <w:rPr>
          <w:color w:val="404040"/>
          <w:sz w:val="28"/>
          <w:szCs w:val="28"/>
        </w:rPr>
        <w:t xml:space="preserve"> </w:t>
      </w:r>
      <w:r w:rsidR="00D9449D" w:rsidRPr="00D331CA">
        <w:rPr>
          <w:color w:val="404040"/>
          <w:sz w:val="28"/>
          <w:szCs w:val="28"/>
        </w:rPr>
        <w:t xml:space="preserve">средней тяжести. </w:t>
      </w:r>
      <w:proofErr w:type="gramEnd"/>
    </w:p>
    <w:p w:rsidR="00D9449D" w:rsidRPr="00D331CA" w:rsidRDefault="000F3892" w:rsidP="003A729D">
      <w:pPr>
        <w:shd w:val="clear" w:color="auto" w:fill="FFFFFF"/>
        <w:ind w:left="19" w:right="5"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Число расследованных преступлений составило 1542 (в 2013 году - 1498), в том числе 421 (в 2013 году - 399) – тяжких и особо тяжких, приостановлено 1316 (в 2013 году - 1222), в том числе 363 (в 2013 году - 330) - тяжких и особо тяжких.</w:t>
      </w:r>
    </w:p>
    <w:p w:rsidR="009E56D0" w:rsidRPr="00D331CA" w:rsidRDefault="009E56D0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В отчетном периоде сотрудниками Отдела МВД России по району Раменки </w:t>
      </w:r>
      <w:proofErr w:type="gramStart"/>
      <w:r w:rsidRPr="00D331CA">
        <w:rPr>
          <w:color w:val="404040"/>
          <w:sz w:val="28"/>
          <w:szCs w:val="28"/>
        </w:rPr>
        <w:t>г</w:t>
      </w:r>
      <w:proofErr w:type="gramEnd"/>
      <w:r w:rsidRPr="00D331CA">
        <w:rPr>
          <w:color w:val="404040"/>
          <w:sz w:val="28"/>
          <w:szCs w:val="28"/>
        </w:rPr>
        <w:t>. Москвы проводилась определенная работа по обеспечению правопорядка, повышению эффективности борьбы с преступлениями и правонарушениями на территории района.</w:t>
      </w:r>
    </w:p>
    <w:p w:rsidR="009E56D0" w:rsidRPr="00D331CA" w:rsidRDefault="009E56D0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Принятыми мерами профилактического характера удалось добиться сокращения: </w:t>
      </w:r>
    </w:p>
    <w:p w:rsidR="001E57EF" w:rsidRPr="00D331CA" w:rsidRDefault="001E57EF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- преступлений совершенных иностранными гражданами (с 92 до 77)</w:t>
      </w:r>
      <w:r w:rsidR="00A554CC" w:rsidRPr="00D331CA">
        <w:rPr>
          <w:color w:val="404040"/>
          <w:sz w:val="28"/>
          <w:szCs w:val="28"/>
        </w:rPr>
        <w:t xml:space="preserve">, из них наибольшее количество преступлений совершено следующими лицами: гражданами </w:t>
      </w:r>
      <w:proofErr w:type="spellStart"/>
      <w:r w:rsidR="00A554CC" w:rsidRPr="00D331CA">
        <w:rPr>
          <w:color w:val="404040"/>
          <w:sz w:val="28"/>
          <w:szCs w:val="28"/>
        </w:rPr>
        <w:t>респ</w:t>
      </w:r>
      <w:proofErr w:type="spellEnd"/>
      <w:r w:rsidR="00A554CC" w:rsidRPr="00D331CA">
        <w:rPr>
          <w:color w:val="404040"/>
          <w:sz w:val="28"/>
          <w:szCs w:val="28"/>
        </w:rPr>
        <w:t xml:space="preserve">. Узбекистана – 22, </w:t>
      </w:r>
      <w:proofErr w:type="spellStart"/>
      <w:r w:rsidR="00A554CC" w:rsidRPr="00D331CA">
        <w:rPr>
          <w:color w:val="404040"/>
          <w:sz w:val="28"/>
          <w:szCs w:val="28"/>
        </w:rPr>
        <w:t>респ</w:t>
      </w:r>
      <w:proofErr w:type="spellEnd"/>
      <w:r w:rsidR="00A554CC" w:rsidRPr="00D331CA">
        <w:rPr>
          <w:color w:val="404040"/>
          <w:sz w:val="28"/>
          <w:szCs w:val="28"/>
        </w:rPr>
        <w:t xml:space="preserve">. Таджикистана – 18, </w:t>
      </w:r>
      <w:proofErr w:type="spellStart"/>
      <w:r w:rsidR="00A554CC" w:rsidRPr="00D331CA">
        <w:rPr>
          <w:color w:val="404040"/>
          <w:sz w:val="28"/>
          <w:szCs w:val="28"/>
        </w:rPr>
        <w:t>респ</w:t>
      </w:r>
      <w:proofErr w:type="spellEnd"/>
      <w:r w:rsidR="00A554CC" w:rsidRPr="00D331CA">
        <w:rPr>
          <w:color w:val="404040"/>
          <w:sz w:val="28"/>
          <w:szCs w:val="28"/>
        </w:rPr>
        <w:t xml:space="preserve">. Киргизии – 7, </w:t>
      </w:r>
      <w:proofErr w:type="spellStart"/>
      <w:r w:rsidR="00A554CC" w:rsidRPr="00D331CA">
        <w:rPr>
          <w:color w:val="404040"/>
          <w:sz w:val="28"/>
          <w:szCs w:val="28"/>
        </w:rPr>
        <w:t>респ</w:t>
      </w:r>
      <w:proofErr w:type="spellEnd"/>
      <w:r w:rsidR="00A554CC" w:rsidRPr="00D331CA">
        <w:rPr>
          <w:color w:val="404040"/>
          <w:sz w:val="28"/>
          <w:szCs w:val="28"/>
        </w:rPr>
        <w:t>. Украины – 5.</w:t>
      </w:r>
    </w:p>
    <w:p w:rsidR="001E57EF" w:rsidRPr="00D331CA" w:rsidRDefault="00E6279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lastRenderedPageBreak/>
        <w:drawing>
          <wp:inline distT="0" distB="0" distL="0" distR="0">
            <wp:extent cx="4448175" cy="2647950"/>
            <wp:effectExtent l="0" t="0" r="0" b="0"/>
            <wp:docPr id="1" name="Объ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E57EF" w:rsidRPr="00D331CA" w:rsidRDefault="001E57EF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9E56D0" w:rsidRPr="00D331CA" w:rsidRDefault="009E56D0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- количества краж транспортных средств на 9,6% (со 156 до 141), в том числе количество краж автомобилей на 5,6% (со 142 до 134), с увеличением в раскрытии данного вида преступления </w:t>
      </w:r>
      <w:proofErr w:type="gramStart"/>
      <w:r w:rsidRPr="00D331CA">
        <w:rPr>
          <w:color w:val="404040"/>
          <w:sz w:val="28"/>
          <w:szCs w:val="28"/>
        </w:rPr>
        <w:t>на</w:t>
      </w:r>
      <w:proofErr w:type="gramEnd"/>
      <w:r w:rsidRPr="00D331CA">
        <w:rPr>
          <w:color w:val="404040"/>
          <w:sz w:val="28"/>
          <w:szCs w:val="28"/>
        </w:rPr>
        <w:t xml:space="preserve"> 50,0</w:t>
      </w:r>
      <w:r w:rsidR="003C723A" w:rsidRPr="00D331CA">
        <w:rPr>
          <w:color w:val="404040"/>
          <w:sz w:val="28"/>
          <w:szCs w:val="28"/>
        </w:rPr>
        <w:t>% (с 4 до 6);</w:t>
      </w:r>
    </w:p>
    <w:p w:rsidR="00004249" w:rsidRPr="00D331CA" w:rsidRDefault="00E62799" w:rsidP="003A729D">
      <w:pPr>
        <w:ind w:firstLine="540"/>
        <w:contextualSpacing/>
        <w:jc w:val="both"/>
        <w:rPr>
          <w:b/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396240</wp:posOffset>
            </wp:positionV>
            <wp:extent cx="4019550" cy="2294255"/>
            <wp:effectExtent l="0" t="0" r="3810" b="5080"/>
            <wp:wrapSquare wrapText="right"/>
            <wp:docPr id="6" name="Объект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004249" w:rsidRPr="00D331CA">
        <w:rPr>
          <w:color w:val="404040"/>
          <w:sz w:val="28"/>
          <w:szCs w:val="28"/>
        </w:rPr>
        <w:t xml:space="preserve">                                             </w:t>
      </w:r>
      <w:r w:rsidR="00004249" w:rsidRPr="00D331CA">
        <w:rPr>
          <w:b/>
          <w:color w:val="404040"/>
          <w:sz w:val="28"/>
          <w:szCs w:val="28"/>
        </w:rPr>
        <w:t>Кражи транспортных средств</w:t>
      </w:r>
    </w:p>
    <w:p w:rsidR="001E57EF" w:rsidRPr="00D331CA" w:rsidRDefault="001E57EF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1E57EF" w:rsidRPr="00D331CA" w:rsidRDefault="001E57EF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1E3EEA" w:rsidRPr="00D331CA" w:rsidRDefault="001E57EF" w:rsidP="003A729D">
      <w:pPr>
        <w:ind w:firstLine="540"/>
        <w:contextualSpacing/>
        <w:jc w:val="both"/>
        <w:rPr>
          <w:b/>
          <w:color w:val="404040"/>
          <w:sz w:val="28"/>
          <w:szCs w:val="28"/>
        </w:rPr>
      </w:pPr>
      <w:r w:rsidRPr="00D331CA">
        <w:rPr>
          <w:b/>
          <w:color w:val="404040"/>
          <w:sz w:val="28"/>
          <w:szCs w:val="28"/>
        </w:rPr>
        <w:t>К</w:t>
      </w:r>
      <w:r w:rsidR="00004249" w:rsidRPr="00D331CA">
        <w:rPr>
          <w:b/>
          <w:color w:val="404040"/>
          <w:sz w:val="28"/>
          <w:szCs w:val="28"/>
        </w:rPr>
        <w:t>ражи автомобилей</w:t>
      </w:r>
    </w:p>
    <w:p w:rsidR="001E3EEA" w:rsidRPr="00D331CA" w:rsidRDefault="00E6279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175895</wp:posOffset>
            </wp:positionV>
            <wp:extent cx="3637915" cy="1995170"/>
            <wp:effectExtent l="0" t="0" r="4445" b="635"/>
            <wp:wrapSquare wrapText="right"/>
            <wp:docPr id="7" name="Объект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1E3EEA" w:rsidRPr="00D331CA" w:rsidRDefault="001E3EE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1E3EEA" w:rsidRPr="00D331CA" w:rsidRDefault="001E3EE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1E3EEA" w:rsidRPr="00D331CA" w:rsidRDefault="001E3EE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1E3EEA" w:rsidRPr="00D331CA" w:rsidRDefault="001E3EE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1E3EEA" w:rsidRPr="00D331CA" w:rsidRDefault="001E3EE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1E3EEA" w:rsidRPr="00D331CA" w:rsidRDefault="001E3EE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004249" w:rsidRPr="00D331CA" w:rsidRDefault="0000424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004249" w:rsidRPr="00D331CA" w:rsidRDefault="0000424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004249" w:rsidRPr="00D331CA" w:rsidRDefault="0000424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004249" w:rsidRPr="00D331CA" w:rsidRDefault="0000424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3C723A" w:rsidRPr="00D331CA" w:rsidRDefault="003C723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lastRenderedPageBreak/>
        <w:t>Имеется положительная динамика в раскрытии разбойных нападений на 20,0%, несмотря на увеличение регистрации данного вида преступления на 171,4% (с 7 до 19).</w:t>
      </w:r>
    </w:p>
    <w:p w:rsidR="003C723A" w:rsidRPr="00D331CA" w:rsidRDefault="003C723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Аналогичная картина видна в части мошеннических действий, а именно: выросло количество раскрытых преступлений на 116,7 % (с 12 до 26) при повышении регистрации мошенничеств на 43,6% (со 101 </w:t>
      </w:r>
      <w:proofErr w:type="gramStart"/>
      <w:r w:rsidRPr="00D331CA">
        <w:rPr>
          <w:color w:val="404040"/>
          <w:sz w:val="28"/>
          <w:szCs w:val="28"/>
        </w:rPr>
        <w:t>до</w:t>
      </w:r>
      <w:proofErr w:type="gramEnd"/>
      <w:r w:rsidRPr="00D331CA">
        <w:rPr>
          <w:color w:val="404040"/>
          <w:sz w:val="28"/>
          <w:szCs w:val="28"/>
        </w:rPr>
        <w:t xml:space="preserve"> 145).</w:t>
      </w:r>
    </w:p>
    <w:p w:rsidR="001E57EF" w:rsidRPr="00D331CA" w:rsidRDefault="00E6279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>
        <w:rPr>
          <w:noProof/>
          <w:color w:val="404040"/>
          <w:sz w:val="28"/>
          <w:szCs w:val="28"/>
        </w:rPr>
        <w:drawing>
          <wp:inline distT="0" distB="0" distL="0" distR="0">
            <wp:extent cx="5143500" cy="2657475"/>
            <wp:effectExtent l="0" t="0" r="0" b="0"/>
            <wp:docPr id="2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E57EF" w:rsidRPr="00D331CA" w:rsidRDefault="001E57EF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3C723A" w:rsidRPr="00D331CA" w:rsidRDefault="003C723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Однако, несмотря на принимаемые профилактические меры за отчетный период остается высокий процент совершенных преступлений в состоянии алкогольного опьянения. Так, в 2014 году привлечено к ответственности 32 гражданина, что на 45,5% больше, чем в 2013 году.</w:t>
      </w:r>
    </w:p>
    <w:p w:rsidR="003C723A" w:rsidRPr="00D331CA" w:rsidRDefault="003C723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3F3618" w:rsidRPr="00D331CA" w:rsidRDefault="003F361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Вместе с тем допущен рост:</w:t>
      </w:r>
    </w:p>
    <w:p w:rsidR="003F3618" w:rsidRPr="00D331CA" w:rsidRDefault="003F361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-  краж в целом на 98 преступлений или на 9,9% (с 993 до 1091);</w:t>
      </w:r>
    </w:p>
    <w:p w:rsidR="003F3618" w:rsidRPr="00D331CA" w:rsidRDefault="003F361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- квартирных краж на 45,6% (с 57 до 83), однако раскрыто на 2 преступления больше (с 3 </w:t>
      </w:r>
      <w:proofErr w:type="gramStart"/>
      <w:r w:rsidRPr="00D331CA">
        <w:rPr>
          <w:color w:val="404040"/>
          <w:sz w:val="28"/>
          <w:szCs w:val="28"/>
        </w:rPr>
        <w:t>до</w:t>
      </w:r>
      <w:proofErr w:type="gramEnd"/>
      <w:r w:rsidRPr="00D331CA">
        <w:rPr>
          <w:color w:val="404040"/>
          <w:sz w:val="28"/>
          <w:szCs w:val="28"/>
        </w:rPr>
        <w:t xml:space="preserve"> 5).</w:t>
      </w:r>
    </w:p>
    <w:p w:rsidR="003F3618" w:rsidRPr="00D331CA" w:rsidRDefault="003F361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- количества совершенных грабежей на 29,6% (с 54 до 70).</w:t>
      </w:r>
    </w:p>
    <w:p w:rsidR="003F3618" w:rsidRPr="00D331CA" w:rsidRDefault="003F361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813BF2" w:rsidRPr="00D331CA" w:rsidRDefault="00A554CC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Сотрудниками Отдела МВД России по району Раменки </w:t>
      </w:r>
      <w:proofErr w:type="gramStart"/>
      <w:r w:rsidRPr="00D331CA">
        <w:rPr>
          <w:color w:val="404040"/>
          <w:sz w:val="28"/>
          <w:szCs w:val="28"/>
        </w:rPr>
        <w:t>г</w:t>
      </w:r>
      <w:proofErr w:type="gramEnd"/>
      <w:r w:rsidRPr="00D331CA">
        <w:rPr>
          <w:color w:val="404040"/>
          <w:sz w:val="28"/>
          <w:szCs w:val="28"/>
        </w:rPr>
        <w:t>. Москвы р</w:t>
      </w:r>
      <w:r w:rsidR="00813BF2" w:rsidRPr="00D331CA">
        <w:rPr>
          <w:color w:val="404040"/>
          <w:sz w:val="28"/>
          <w:szCs w:val="28"/>
        </w:rPr>
        <w:t xml:space="preserve">еализуются мероприятия по противодействию незаконному </w:t>
      </w:r>
      <w:r w:rsidR="00FD4667" w:rsidRPr="00D331CA">
        <w:rPr>
          <w:color w:val="404040"/>
          <w:sz w:val="28"/>
          <w:szCs w:val="28"/>
        </w:rPr>
        <w:t>обороту наркотических средств.</w:t>
      </w:r>
    </w:p>
    <w:p w:rsidR="00FD4667" w:rsidRPr="00D331CA" w:rsidRDefault="002D5CE5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Распространение наркотических средств является мощным криминогенным фактором, а преступления, совершаемые в сфере незаконного оборота наркотиков, отличаются высокой латентностью и опасностью необратимого процесса наркотизации населения.</w:t>
      </w:r>
    </w:p>
    <w:p w:rsidR="002D5CE5" w:rsidRPr="00D331CA" w:rsidRDefault="002D5CE5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Всего в сфере незаконного оборота наркотиков сотрудниками полиции выявлено</w:t>
      </w:r>
      <w:r w:rsidR="00BC547D" w:rsidRPr="00D331CA">
        <w:rPr>
          <w:color w:val="404040"/>
          <w:sz w:val="28"/>
          <w:szCs w:val="28"/>
        </w:rPr>
        <w:t xml:space="preserve"> 66 преступлений, в том числе 48 фактов сбыта.</w:t>
      </w:r>
    </w:p>
    <w:p w:rsidR="00EF6A82" w:rsidRPr="00D331CA" w:rsidRDefault="00EF6A82" w:rsidP="003A729D">
      <w:pPr>
        <w:pStyle w:val="ab"/>
        <w:spacing w:after="0"/>
        <w:ind w:left="0" w:firstLine="567"/>
        <w:contextualSpacing/>
        <w:jc w:val="both"/>
        <w:rPr>
          <w:color w:val="404040"/>
        </w:rPr>
      </w:pPr>
      <w:r w:rsidRPr="00D331CA">
        <w:rPr>
          <w:color w:val="404040"/>
        </w:rPr>
        <w:t xml:space="preserve">Продолжается работа инспекторского состава по выявлению и постановке на учет несовершеннолетних, употребляющих наркотические и токсические средства. Так, за 2014 год было выявлено и поставлено на профилактический учет: 1 несовершеннолетний, употребляющий наркотические вещества; 9 несовершеннолетних, употребляющих </w:t>
      </w:r>
      <w:r w:rsidRPr="00D331CA">
        <w:rPr>
          <w:color w:val="404040"/>
        </w:rPr>
        <w:lastRenderedPageBreak/>
        <w:t>спиртные напитки, 2 несовершеннолетних, употребляющих одурманивающие вещества.</w:t>
      </w:r>
    </w:p>
    <w:p w:rsidR="00EF6A82" w:rsidRPr="00D331CA" w:rsidRDefault="00EF6A82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За употребление наркотических средств или психотропных веществ без назначения врача, иных одурманивающих веществ в общественных местах (ст. 6.9 </w:t>
      </w:r>
      <w:proofErr w:type="spellStart"/>
      <w:r w:rsidRPr="00D331CA">
        <w:rPr>
          <w:color w:val="404040"/>
          <w:sz w:val="28"/>
          <w:szCs w:val="28"/>
        </w:rPr>
        <w:t>КоАП</w:t>
      </w:r>
      <w:proofErr w:type="spellEnd"/>
      <w:r w:rsidRPr="00D331CA">
        <w:rPr>
          <w:color w:val="404040"/>
          <w:sz w:val="28"/>
          <w:szCs w:val="28"/>
        </w:rPr>
        <w:t xml:space="preserve"> РФ, а также ч.3 ст.20.20 </w:t>
      </w:r>
      <w:proofErr w:type="spellStart"/>
      <w:r w:rsidRPr="00D331CA">
        <w:rPr>
          <w:color w:val="404040"/>
          <w:sz w:val="28"/>
          <w:szCs w:val="28"/>
        </w:rPr>
        <w:t>КоАП</w:t>
      </w:r>
      <w:proofErr w:type="spellEnd"/>
      <w:r w:rsidRPr="00D331CA">
        <w:rPr>
          <w:color w:val="404040"/>
          <w:sz w:val="28"/>
          <w:szCs w:val="28"/>
        </w:rPr>
        <w:t xml:space="preserve"> РФ) привлечено к административной ответственности 6 несовершеннолетних.</w:t>
      </w:r>
    </w:p>
    <w:p w:rsidR="00BC547D" w:rsidRPr="00D331CA" w:rsidRDefault="00EF6A82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 </w:t>
      </w:r>
      <w:r w:rsidR="00BC547D" w:rsidRPr="00D331CA">
        <w:rPr>
          <w:color w:val="404040"/>
          <w:sz w:val="28"/>
          <w:szCs w:val="28"/>
        </w:rPr>
        <w:t>Проводится работа по недопущению фактов проявления экстремизма.</w:t>
      </w:r>
    </w:p>
    <w:p w:rsidR="00BC547D" w:rsidRPr="00D331CA" w:rsidRDefault="00BC547D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Особое внимание в ходе данной деятельности уделяется недопущению противоправных действий экстремистского характера в молодежной среде. В этих целях</w:t>
      </w:r>
      <w:r w:rsidR="00EF6A82" w:rsidRPr="00D331CA">
        <w:rPr>
          <w:color w:val="404040"/>
          <w:sz w:val="28"/>
          <w:szCs w:val="28"/>
        </w:rPr>
        <w:t xml:space="preserve"> проводится работа по предупреждению проявлений фашизма, политического экстремизма и других асоциальных направлений со стороны молодежи и несовершеннолетних, проживающих и находящихся на территории района. За отчетный период выявлен и поставлен на профилактический учет 1 несовершеннолетний, причисляющий себя к НФМО «</w:t>
      </w:r>
      <w:r w:rsidR="003364B9" w:rsidRPr="00D331CA">
        <w:rPr>
          <w:color w:val="404040"/>
          <w:sz w:val="28"/>
          <w:szCs w:val="28"/>
        </w:rPr>
        <w:t>Панки</w:t>
      </w:r>
      <w:r w:rsidR="00EF6A82" w:rsidRPr="00D331CA">
        <w:rPr>
          <w:color w:val="404040"/>
          <w:sz w:val="28"/>
          <w:szCs w:val="28"/>
        </w:rPr>
        <w:t>»</w:t>
      </w:r>
      <w:r w:rsidR="003364B9" w:rsidRPr="00D331CA">
        <w:rPr>
          <w:color w:val="404040"/>
          <w:sz w:val="28"/>
          <w:szCs w:val="28"/>
        </w:rPr>
        <w:t xml:space="preserve"> (АППГ-1).</w:t>
      </w:r>
    </w:p>
    <w:p w:rsidR="001F4A12" w:rsidRPr="00D331CA" w:rsidRDefault="001F4A12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В целях профилактики алкоголизма сотрудниками полиции осуществляются рейды, направленные на пресечение фактов продажи алкогольной продукции, а также пива, </w:t>
      </w:r>
      <w:proofErr w:type="gramStart"/>
      <w:r w:rsidRPr="00D331CA">
        <w:rPr>
          <w:color w:val="404040"/>
          <w:sz w:val="28"/>
          <w:szCs w:val="28"/>
        </w:rPr>
        <w:t>лицам</w:t>
      </w:r>
      <w:proofErr w:type="gramEnd"/>
      <w:r w:rsidRPr="00D331CA">
        <w:rPr>
          <w:color w:val="404040"/>
          <w:sz w:val="28"/>
          <w:szCs w:val="28"/>
        </w:rPr>
        <w:t xml:space="preserve"> не достигшим возраста совершеннолетия. В результате проведения мероприятий выявлено </w:t>
      </w:r>
      <w:r w:rsidR="009D4328" w:rsidRPr="00D331CA">
        <w:rPr>
          <w:color w:val="404040"/>
          <w:sz w:val="28"/>
          <w:szCs w:val="28"/>
        </w:rPr>
        <w:t>13</w:t>
      </w:r>
      <w:r w:rsidRPr="00D331CA">
        <w:rPr>
          <w:color w:val="404040"/>
          <w:sz w:val="28"/>
          <w:szCs w:val="28"/>
        </w:rPr>
        <w:t xml:space="preserve"> правонарушений, ответственность за которые предусмотрено </w:t>
      </w:r>
      <w:proofErr w:type="gramStart"/>
      <w:r w:rsidRPr="00D331CA">
        <w:rPr>
          <w:color w:val="404040"/>
          <w:sz w:val="28"/>
          <w:szCs w:val="28"/>
        </w:rPr>
        <w:t>ч</w:t>
      </w:r>
      <w:proofErr w:type="gramEnd"/>
      <w:r w:rsidRPr="00D331CA">
        <w:rPr>
          <w:color w:val="404040"/>
          <w:sz w:val="28"/>
          <w:szCs w:val="28"/>
        </w:rPr>
        <w:t xml:space="preserve">.2.1 ст. 14.16 </w:t>
      </w:r>
      <w:proofErr w:type="spellStart"/>
      <w:r w:rsidRPr="00D331CA">
        <w:rPr>
          <w:color w:val="404040"/>
          <w:sz w:val="28"/>
          <w:szCs w:val="28"/>
        </w:rPr>
        <w:t>КоАП</w:t>
      </w:r>
      <w:proofErr w:type="spellEnd"/>
      <w:r w:rsidRPr="00D331CA">
        <w:rPr>
          <w:color w:val="404040"/>
          <w:sz w:val="28"/>
          <w:szCs w:val="28"/>
        </w:rPr>
        <w:t xml:space="preserve"> РФ.</w:t>
      </w:r>
    </w:p>
    <w:p w:rsidR="00813BF2" w:rsidRPr="00D331CA" w:rsidRDefault="00813BF2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3F3618" w:rsidRPr="00D331CA" w:rsidRDefault="003F361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Охрана правопорядка, обеспечение безопасности граждан на улицах и общественных местах района Раменки обеспечивается за счет основных сил полиции – отдельной ротой патрульно-постовой службой полиции Отдела МВД России по району Раменки </w:t>
      </w:r>
      <w:proofErr w:type="gramStart"/>
      <w:r w:rsidRPr="00D331CA">
        <w:rPr>
          <w:color w:val="404040"/>
          <w:sz w:val="28"/>
          <w:szCs w:val="28"/>
        </w:rPr>
        <w:t>г</w:t>
      </w:r>
      <w:proofErr w:type="gramEnd"/>
      <w:r w:rsidRPr="00D331CA">
        <w:rPr>
          <w:color w:val="404040"/>
          <w:sz w:val="28"/>
          <w:szCs w:val="28"/>
        </w:rPr>
        <w:t>. Москвы. За отчетный период пресечено более 2 000 административных правонарушений</w:t>
      </w:r>
      <w:r w:rsidR="004F456E" w:rsidRPr="00D331CA">
        <w:rPr>
          <w:color w:val="404040"/>
          <w:sz w:val="28"/>
          <w:szCs w:val="28"/>
        </w:rPr>
        <w:t>.</w:t>
      </w:r>
    </w:p>
    <w:p w:rsidR="001F4A12" w:rsidRPr="00D331CA" w:rsidRDefault="001F4A12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C97614" w:rsidRPr="00D331CA" w:rsidRDefault="001F4A12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Повышенное внимание руководством ОМВД  уделяется работе по обеспечению общественного порядка и безопасности в период подготовки и проведения на территории района Раменки общественно-политических мероприятий.</w:t>
      </w:r>
      <w:r w:rsidR="00C97614" w:rsidRPr="00D331CA">
        <w:rPr>
          <w:color w:val="404040"/>
          <w:sz w:val="28"/>
          <w:szCs w:val="28"/>
        </w:rPr>
        <w:t xml:space="preserve"> В данной работе п</w:t>
      </w:r>
      <w:r w:rsidR="004F456E" w:rsidRPr="00D331CA">
        <w:rPr>
          <w:color w:val="404040"/>
          <w:sz w:val="28"/>
          <w:szCs w:val="28"/>
        </w:rPr>
        <w:t>осильную помощь полиции оказывают около 20 граждан из народной дружины</w:t>
      </w:r>
      <w:r w:rsidR="00C97614" w:rsidRPr="00D331CA">
        <w:rPr>
          <w:color w:val="404040"/>
          <w:sz w:val="28"/>
          <w:szCs w:val="28"/>
        </w:rPr>
        <w:t>.</w:t>
      </w:r>
    </w:p>
    <w:p w:rsidR="004F456E" w:rsidRPr="00D331CA" w:rsidRDefault="00C97614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В 2014 году на территории района состоялось около 150 культурно-зрелищных, религиозных, общественно-политических, спортивно-массовых мероприятий, в том числе</w:t>
      </w:r>
      <w:r w:rsidR="003364B9" w:rsidRPr="00D331CA">
        <w:rPr>
          <w:color w:val="404040"/>
          <w:sz w:val="28"/>
          <w:szCs w:val="28"/>
        </w:rPr>
        <w:t>:</w:t>
      </w:r>
      <w:r w:rsidR="003364B9" w:rsidRPr="00D331CA">
        <w:rPr>
          <w:color w:val="404040"/>
          <w:sz w:val="22"/>
          <w:szCs w:val="22"/>
        </w:rPr>
        <w:t xml:space="preserve"> </w:t>
      </w:r>
      <w:r w:rsidR="003364B9" w:rsidRPr="00D331CA">
        <w:rPr>
          <w:color w:val="404040"/>
          <w:sz w:val="28"/>
          <w:szCs w:val="28"/>
        </w:rPr>
        <w:t>религиозных православных праздников: «Рождество Христово», «Крещение Господне», «Вербное воскресенье», «Пасха», «Красная горка», «Троица»; мероприятий,  посвященных Дню города и Дню знаний;  Единого дня голосования на территории г</w:t>
      </w:r>
      <w:proofErr w:type="gramStart"/>
      <w:r w:rsidR="003364B9" w:rsidRPr="00D331CA">
        <w:rPr>
          <w:color w:val="404040"/>
          <w:sz w:val="28"/>
          <w:szCs w:val="28"/>
        </w:rPr>
        <w:t>.М</w:t>
      </w:r>
      <w:proofErr w:type="gramEnd"/>
      <w:r w:rsidR="003364B9" w:rsidRPr="00D331CA">
        <w:rPr>
          <w:color w:val="404040"/>
          <w:sz w:val="28"/>
          <w:szCs w:val="28"/>
        </w:rPr>
        <w:t>осквы; мероприятий,  посвященных встрече Нового 2015 года</w:t>
      </w:r>
      <w:r w:rsidRPr="00D331CA">
        <w:rPr>
          <w:color w:val="404040"/>
          <w:sz w:val="28"/>
          <w:szCs w:val="28"/>
        </w:rPr>
        <w:t>, в которых приняло участие более 3 000 человек, задействовано из числа личного состава ОМВД более 500 человек.</w:t>
      </w:r>
    </w:p>
    <w:p w:rsidR="003364B9" w:rsidRPr="00D331CA" w:rsidRDefault="001F4A12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По результатам проведенной работы нарушений общественного порядка выявлено не было.</w:t>
      </w:r>
    </w:p>
    <w:p w:rsidR="003364B9" w:rsidRPr="00D331CA" w:rsidRDefault="003364B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9D4328" w:rsidRPr="00D331CA" w:rsidRDefault="009D432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lastRenderedPageBreak/>
        <w:t>Реализуются мероприятия по выявлению и пресечению нарушений миграционного законодательства.</w:t>
      </w:r>
    </w:p>
    <w:p w:rsidR="009D4328" w:rsidRPr="00D331CA" w:rsidRDefault="00D331C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Регулярно</w:t>
      </w:r>
      <w:r w:rsidR="009D4328" w:rsidRPr="00D331CA">
        <w:rPr>
          <w:color w:val="404040"/>
          <w:sz w:val="28"/>
          <w:szCs w:val="28"/>
        </w:rPr>
        <w:t xml:space="preserve"> проводятся проверки жилого сектора и адресные оперативно-профилактические </w:t>
      </w:r>
      <w:r w:rsidRPr="00D331CA">
        <w:rPr>
          <w:color w:val="404040"/>
          <w:sz w:val="28"/>
          <w:szCs w:val="28"/>
        </w:rPr>
        <w:t>мероприятия</w:t>
      </w:r>
      <w:r w:rsidR="009D4328" w:rsidRPr="00D331CA">
        <w:rPr>
          <w:color w:val="404040"/>
          <w:sz w:val="28"/>
          <w:szCs w:val="28"/>
        </w:rPr>
        <w:t>, в ходе которых осуществляются проверки мест возможного пребывания иностранных граждан и лиц без гражданства с целью выявления нарушений миграционного законодательства.</w:t>
      </w:r>
    </w:p>
    <w:p w:rsidR="009D4328" w:rsidRPr="00D331CA" w:rsidRDefault="009D4328" w:rsidP="003A729D">
      <w:pPr>
        <w:ind w:firstLine="36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С начала года по главе 18 Кодекса РФ об административных правонарушениях было привлечено 47 граждан стран СНГ. По всем выявленным фактам составлены административные материалы по гл. 18 </w:t>
      </w:r>
      <w:proofErr w:type="spellStart"/>
      <w:r w:rsidRPr="00D331CA">
        <w:rPr>
          <w:color w:val="404040"/>
          <w:sz w:val="28"/>
          <w:szCs w:val="28"/>
        </w:rPr>
        <w:t>КоАП</w:t>
      </w:r>
      <w:proofErr w:type="spellEnd"/>
      <w:r w:rsidRPr="00D331CA">
        <w:rPr>
          <w:color w:val="404040"/>
          <w:sz w:val="28"/>
          <w:szCs w:val="28"/>
        </w:rPr>
        <w:t xml:space="preserve"> РФ, по которым вынесены решения о привлечении нарушителей к административной ответственности с наложением наказания в виде штрафа на общую сумму 220 000 рублей. Взыскано 220 000 рублей. В отношении 44 граждан было принято решение о направлении в суд, 44 человека подвергнуты штрафу с административным </w:t>
      </w:r>
      <w:proofErr w:type="gramStart"/>
      <w:r w:rsidRPr="00D331CA">
        <w:rPr>
          <w:color w:val="404040"/>
          <w:sz w:val="28"/>
          <w:szCs w:val="28"/>
        </w:rPr>
        <w:t>выдворением</w:t>
      </w:r>
      <w:proofErr w:type="gramEnd"/>
      <w:r w:rsidRPr="00D331CA">
        <w:rPr>
          <w:color w:val="404040"/>
          <w:sz w:val="28"/>
          <w:szCs w:val="28"/>
        </w:rPr>
        <w:t xml:space="preserve"> за пределы РФ (АППГ0-34). </w:t>
      </w:r>
    </w:p>
    <w:p w:rsidR="009D4328" w:rsidRPr="00D331CA" w:rsidRDefault="009D432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46310C" w:rsidRPr="00D331CA" w:rsidRDefault="0046310C" w:rsidP="003A729D">
      <w:pPr>
        <w:ind w:firstLine="708"/>
        <w:contextualSpacing/>
        <w:jc w:val="both"/>
        <w:rPr>
          <w:bCs/>
          <w:color w:val="404040"/>
          <w:sz w:val="28"/>
          <w:szCs w:val="28"/>
        </w:rPr>
      </w:pPr>
      <w:proofErr w:type="gramStart"/>
      <w:r w:rsidRPr="00D331CA">
        <w:rPr>
          <w:color w:val="404040"/>
          <w:sz w:val="28"/>
          <w:szCs w:val="28"/>
        </w:rPr>
        <w:t>В целях предупреждения преступности несовершеннолетних, в том числе групповой преступности, предупреждения и пресечения правонарушений несовершеннолетних, выявления безнадзорных и беспризорных несовершеннолетних, а также выявления родителей, злоупотребляющих спиртными напитками, уклоняющихся от воспитания детей, допускающих жестокое обращение с ними, привлечения к ответственности юридических лиц за нарушение правил продажи алкогольной продукции и взрослых лиц, вовлекающих подростков в преступную и иную противоправную деятельность, на территории</w:t>
      </w:r>
      <w:proofErr w:type="gramEnd"/>
      <w:r w:rsidRPr="00D331CA">
        <w:rPr>
          <w:color w:val="404040"/>
          <w:sz w:val="28"/>
          <w:szCs w:val="28"/>
        </w:rPr>
        <w:t xml:space="preserve"> района Раменки </w:t>
      </w:r>
      <w:proofErr w:type="gramStart"/>
      <w:r w:rsidRPr="00D331CA">
        <w:rPr>
          <w:color w:val="404040"/>
          <w:sz w:val="28"/>
          <w:szCs w:val="28"/>
        </w:rPr>
        <w:t>г</w:t>
      </w:r>
      <w:proofErr w:type="gramEnd"/>
      <w:r w:rsidRPr="00D331CA">
        <w:rPr>
          <w:color w:val="404040"/>
          <w:sz w:val="28"/>
          <w:szCs w:val="28"/>
        </w:rPr>
        <w:t xml:space="preserve">. Москвы за 2014 год проведено 15 оперативно-профилактических мероприятий «Подросток», в которых приняли участие 435 человека (284 сотрудника полиции, 133 представителя государственных органов, общественности). </w:t>
      </w:r>
      <w:r w:rsidRPr="00D331CA">
        <w:rPr>
          <w:bCs/>
          <w:color w:val="404040"/>
          <w:sz w:val="28"/>
          <w:szCs w:val="28"/>
        </w:rPr>
        <w:t xml:space="preserve">В целях повышения эффективности профилактической работы среди несовершеннолетних сотрудники ОДН осуществляют ее во взаимодействии со всеми службами Отдела МВД России по району Раменки   </w:t>
      </w:r>
      <w:proofErr w:type="gramStart"/>
      <w:r w:rsidRPr="00D331CA">
        <w:rPr>
          <w:bCs/>
          <w:color w:val="404040"/>
          <w:sz w:val="28"/>
          <w:szCs w:val="28"/>
        </w:rPr>
        <w:t>г</w:t>
      </w:r>
      <w:proofErr w:type="gramEnd"/>
      <w:r w:rsidRPr="00D331CA">
        <w:rPr>
          <w:bCs/>
          <w:color w:val="404040"/>
          <w:sz w:val="28"/>
          <w:szCs w:val="28"/>
        </w:rPr>
        <w:t xml:space="preserve">. Москвы, а также укрепляют взаимодействие с органами образования, здравоохранения и формированиями, занимающимися организацией досуга и трудоустройства несовершеннолетних. С несовершеннолетними, доставленными в дежурную часть ОМВД по району Раменки </w:t>
      </w:r>
      <w:proofErr w:type="gramStart"/>
      <w:r w:rsidRPr="00D331CA">
        <w:rPr>
          <w:bCs/>
          <w:color w:val="404040"/>
          <w:sz w:val="28"/>
          <w:szCs w:val="28"/>
        </w:rPr>
        <w:t>г</w:t>
      </w:r>
      <w:proofErr w:type="gramEnd"/>
      <w:r w:rsidRPr="00D331CA">
        <w:rPr>
          <w:bCs/>
          <w:color w:val="404040"/>
          <w:sz w:val="28"/>
          <w:szCs w:val="28"/>
        </w:rPr>
        <w:t xml:space="preserve">. Москвы и состоящими на профилактическом учете за различные правонарушения и преступления проводятся профилактические беседы, устанавливается круг общения, с кем подросток совершает правонарушения и преступления. К взрослым лицам принимаются меры административного и уголовного характера. </w:t>
      </w:r>
    </w:p>
    <w:p w:rsidR="0046310C" w:rsidRPr="00D331CA" w:rsidRDefault="0046310C" w:rsidP="003A729D">
      <w:pPr>
        <w:ind w:firstLine="708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В ходе мероприятий «Подросток» было доставлено 87 несовершеннолетних, из них 22 требующих помощи государства (6 помещено в Центр временного содержания несовершеннолетних правонарушителей ГУ МВД России по г</w:t>
      </w:r>
      <w:proofErr w:type="gramStart"/>
      <w:r w:rsidRPr="00D331CA">
        <w:rPr>
          <w:color w:val="404040"/>
          <w:sz w:val="28"/>
          <w:szCs w:val="28"/>
        </w:rPr>
        <w:t>.М</w:t>
      </w:r>
      <w:proofErr w:type="gramEnd"/>
      <w:r w:rsidRPr="00D331CA">
        <w:rPr>
          <w:color w:val="404040"/>
          <w:sz w:val="28"/>
          <w:szCs w:val="28"/>
        </w:rPr>
        <w:t xml:space="preserve">оскве, так как это является </w:t>
      </w:r>
      <w:r w:rsidRPr="00D331CA">
        <w:rPr>
          <w:color w:val="404040"/>
          <w:sz w:val="28"/>
          <w:szCs w:val="28"/>
        </w:rPr>
        <w:lastRenderedPageBreak/>
        <w:t xml:space="preserve">действенной мерой профилактики преступлений и правонарушений со стороны несовершеннолетних; 16 направлены в медицинские учреждения). К административной ответственности привлечены 10 несовершеннолетних, 31 законный представитель, 2 работника торговли. </w:t>
      </w:r>
    </w:p>
    <w:p w:rsidR="0046310C" w:rsidRPr="00D331CA" w:rsidRDefault="0046310C" w:rsidP="003A729D">
      <w:pPr>
        <w:pStyle w:val="ab"/>
        <w:spacing w:after="0"/>
        <w:ind w:left="0" w:firstLine="567"/>
        <w:contextualSpacing/>
        <w:jc w:val="both"/>
        <w:rPr>
          <w:color w:val="404040"/>
        </w:rPr>
      </w:pPr>
      <w:r w:rsidRPr="00D331CA">
        <w:rPr>
          <w:color w:val="404040"/>
        </w:rPr>
        <w:t>За 2014 г. за различные правонарушения было выявлено и поставлено на профилактический учет 36 несовершеннолетних.</w:t>
      </w:r>
    </w:p>
    <w:p w:rsidR="00434BD9" w:rsidRPr="00D331CA" w:rsidRDefault="00CC2BA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Принимаемые меры не позволили повысить рост подростковой преступности (3 преступления в 2014 года, 3 преступления в 2013 году).</w:t>
      </w:r>
    </w:p>
    <w:p w:rsidR="00434BD9" w:rsidRPr="00D331CA" w:rsidRDefault="00434BD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4F456E" w:rsidRPr="00D331CA" w:rsidRDefault="00434BD9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Продолжают допускаться нарушения учетно-регистрационной дисциплины при разрешении заявлений и сообщений о происшествиях. </w:t>
      </w:r>
      <w:r w:rsidR="0015190F" w:rsidRPr="00D331CA">
        <w:rPr>
          <w:color w:val="404040"/>
          <w:sz w:val="28"/>
          <w:szCs w:val="28"/>
        </w:rPr>
        <w:t>Сотрудниками полиции допущены около 110 фактов нарушений сроков проведения проверок по заявлениям и сообщениям о происшествиях</w:t>
      </w:r>
      <w:r w:rsidR="00625AB2" w:rsidRPr="00D331CA">
        <w:rPr>
          <w:color w:val="404040"/>
          <w:sz w:val="28"/>
          <w:szCs w:val="28"/>
        </w:rPr>
        <w:t xml:space="preserve">. </w:t>
      </w:r>
      <w:r w:rsidR="00FD55F5" w:rsidRPr="00D331CA">
        <w:rPr>
          <w:color w:val="404040"/>
          <w:sz w:val="28"/>
          <w:szCs w:val="28"/>
        </w:rPr>
        <w:t>9 сотрудников допустившие нарушения учетно-регистрационной дисциплины, привлечены к строгой дисциплинарной ответственности, объявлены: замечания, выговоры, строгие выговоры.</w:t>
      </w:r>
    </w:p>
    <w:p w:rsidR="00D331CA" w:rsidRPr="00D331CA" w:rsidRDefault="00D331CA" w:rsidP="003A729D">
      <w:pPr>
        <w:contextualSpacing/>
        <w:jc w:val="both"/>
        <w:rPr>
          <w:color w:val="404040"/>
          <w:spacing w:val="3"/>
          <w:sz w:val="28"/>
          <w:szCs w:val="28"/>
        </w:rPr>
      </w:pP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 xml:space="preserve">Так же, хотелось бы так же отметить некоторые результативные задержания и раскрытия преступлений сотрудниками Отдела МВД России по району Раменки </w:t>
      </w:r>
      <w:proofErr w:type="gramStart"/>
      <w:r w:rsidRPr="00D331CA">
        <w:rPr>
          <w:color w:val="404040"/>
          <w:spacing w:val="3"/>
          <w:sz w:val="28"/>
          <w:szCs w:val="28"/>
        </w:rPr>
        <w:t>г</w:t>
      </w:r>
      <w:proofErr w:type="gramEnd"/>
      <w:r w:rsidRPr="00D331CA">
        <w:rPr>
          <w:color w:val="404040"/>
          <w:spacing w:val="3"/>
          <w:sz w:val="28"/>
          <w:szCs w:val="28"/>
        </w:rPr>
        <w:t xml:space="preserve">. Москвы: 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- 8 мая 2014 года в полицию поступило сообщение о краже из продуктового магазина, расположенного в одном из домов на улице Раменки. По словам заявителя, ранее неизвестный пытался похитить из торгового зала товар общей стоимостью около 2 тысяч рублей.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Через несколько минут подозреваемый был задержан недалеко от места преступления. Им оказался 33-летний безработный уроженец Азербайджана.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По данному факту возбуждено уголовное дело по ст. 30.158 УК РФ.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 xml:space="preserve">- 22 июня 2014 года около четырех часов утра в Отдел МВД России по району Раменки </w:t>
      </w:r>
      <w:proofErr w:type="gramStart"/>
      <w:r w:rsidRPr="00D331CA">
        <w:rPr>
          <w:color w:val="404040"/>
          <w:spacing w:val="3"/>
          <w:sz w:val="28"/>
          <w:szCs w:val="28"/>
        </w:rPr>
        <w:t>г</w:t>
      </w:r>
      <w:proofErr w:type="gramEnd"/>
      <w:r w:rsidRPr="00D331CA">
        <w:rPr>
          <w:color w:val="404040"/>
          <w:spacing w:val="3"/>
          <w:sz w:val="28"/>
          <w:szCs w:val="28"/>
        </w:rPr>
        <w:t xml:space="preserve">. Москвы поступило сообщение о краже автомашины марки «Фольксваген Транспортер» белого цвета, 2013 года выпуска, стоимостью свыше 500 000 рублей, которая была припаркована на Мичуринском проспекте. Патрулировавшие территорию в составе </w:t>
      </w:r>
      <w:proofErr w:type="spellStart"/>
      <w:r w:rsidRPr="00D331CA">
        <w:rPr>
          <w:color w:val="404040"/>
          <w:spacing w:val="3"/>
          <w:sz w:val="28"/>
          <w:szCs w:val="28"/>
        </w:rPr>
        <w:t>автопатруля</w:t>
      </w:r>
      <w:proofErr w:type="spellEnd"/>
      <w:r w:rsidRPr="00D331CA">
        <w:rPr>
          <w:color w:val="404040"/>
          <w:spacing w:val="3"/>
          <w:sz w:val="28"/>
          <w:szCs w:val="28"/>
        </w:rPr>
        <w:t xml:space="preserve"> сотрудники полиции обнаружили данную машину возле дома № 22 на Мичуринском проспекте. В салоне находились двое неработающих молодых людей, жителей Москвы, которые были задержаны и для дальнейшего разбирательства доставлены в ОМВД.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>По данному факту возбуждено уголовное дело по ст. 166 УК РФ (неправомерное завладение автомобилем или иным транспортным средством).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 xml:space="preserve">В отношении </w:t>
      </w:r>
      <w:proofErr w:type="gramStart"/>
      <w:r w:rsidRPr="00D331CA">
        <w:rPr>
          <w:color w:val="404040"/>
          <w:spacing w:val="3"/>
          <w:sz w:val="28"/>
          <w:szCs w:val="28"/>
        </w:rPr>
        <w:t>задержанных</w:t>
      </w:r>
      <w:proofErr w:type="gramEnd"/>
      <w:r w:rsidRPr="00D331CA">
        <w:rPr>
          <w:color w:val="404040"/>
          <w:spacing w:val="3"/>
          <w:sz w:val="28"/>
          <w:szCs w:val="28"/>
        </w:rPr>
        <w:t xml:space="preserve"> избрана мера пресечения в виде подписки о невыезде.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lastRenderedPageBreak/>
        <w:t>- 22 сентября 2014 года в 10:00 в ОМВД обратилась 79-летняя пенсионерка.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>Заявительница рассказала, что вернувшись в столицу из пансионата, она обнаружила, что 43-летняя безработная москвичка, которую она попросила присматривать за квартирой на время отъезда, сменила замки на входной двери. При этом на просьбу потерпевшей освободить жилище, женщина ответила отказом.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 xml:space="preserve">Прибывший на место происшествия участковый уполномоченный полиции ОМВД задержал </w:t>
      </w:r>
      <w:proofErr w:type="gramStart"/>
      <w:r w:rsidRPr="00D331CA">
        <w:rPr>
          <w:color w:val="404040"/>
          <w:spacing w:val="3"/>
          <w:sz w:val="28"/>
          <w:szCs w:val="28"/>
        </w:rPr>
        <w:t>подозреваемую</w:t>
      </w:r>
      <w:proofErr w:type="gramEnd"/>
      <w:r w:rsidRPr="00D331CA">
        <w:rPr>
          <w:color w:val="404040"/>
          <w:spacing w:val="3"/>
          <w:sz w:val="28"/>
          <w:szCs w:val="28"/>
        </w:rPr>
        <w:t xml:space="preserve"> в указанной квартире. Полицейские выяснили, что таким образом задержанная намеревалась присвоить себе жилплощадь пенсионерки.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 xml:space="preserve">В отношении подозреваемой возбуждено уголовное дело по признакам преступления, предусмотренного ст. 330 УК РФ (самоуправство), избрана мера пресечения – подписка о невыезде. 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>- 17 октября 2014 года в 15: 40 час</w:t>
      </w:r>
      <w:proofErr w:type="gramStart"/>
      <w:r w:rsidRPr="00D331CA">
        <w:rPr>
          <w:color w:val="404040"/>
          <w:spacing w:val="3"/>
          <w:sz w:val="28"/>
          <w:szCs w:val="28"/>
        </w:rPr>
        <w:t>.</w:t>
      </w:r>
      <w:proofErr w:type="gramEnd"/>
      <w:r w:rsidRPr="00D331CA">
        <w:rPr>
          <w:color w:val="404040"/>
          <w:spacing w:val="3"/>
          <w:sz w:val="28"/>
          <w:szCs w:val="28"/>
        </w:rPr>
        <w:t xml:space="preserve"> </w:t>
      </w:r>
      <w:proofErr w:type="gramStart"/>
      <w:r w:rsidRPr="00D331CA">
        <w:rPr>
          <w:color w:val="404040"/>
          <w:spacing w:val="3"/>
          <w:sz w:val="28"/>
          <w:szCs w:val="28"/>
        </w:rPr>
        <w:t>в</w:t>
      </w:r>
      <w:proofErr w:type="gramEnd"/>
      <w:r w:rsidRPr="00D331CA">
        <w:rPr>
          <w:color w:val="404040"/>
          <w:spacing w:val="3"/>
          <w:sz w:val="28"/>
          <w:szCs w:val="28"/>
        </w:rPr>
        <w:t xml:space="preserve"> рамках комплексной оперативно-профилактической операции сотрудниками уголовного розыска ОМВД возле одного из домов по улице Раменки был задержан подозреваемый в хранении наркотических средств.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pacing w:val="3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>В ходе личного досмотра у19-летнего жителя Москвы было обнаружено и изъято 16 пакетиков с веществом неизвестного происхождения. Согласно проведенной экспертизе изъятый материал является наркотическим средством – курительной смесью «</w:t>
      </w:r>
      <w:proofErr w:type="spellStart"/>
      <w:r w:rsidRPr="00D331CA">
        <w:rPr>
          <w:color w:val="404040"/>
          <w:spacing w:val="3"/>
          <w:sz w:val="28"/>
          <w:szCs w:val="28"/>
        </w:rPr>
        <w:t>спайс</w:t>
      </w:r>
      <w:proofErr w:type="spellEnd"/>
      <w:r w:rsidRPr="00D331CA">
        <w:rPr>
          <w:color w:val="404040"/>
          <w:spacing w:val="3"/>
          <w:sz w:val="28"/>
          <w:szCs w:val="28"/>
        </w:rPr>
        <w:t>».</w:t>
      </w:r>
    </w:p>
    <w:p w:rsidR="00D331CA" w:rsidRPr="00D331CA" w:rsidRDefault="00D331C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pacing w:val="3"/>
          <w:sz w:val="28"/>
          <w:szCs w:val="28"/>
        </w:rPr>
        <w:t xml:space="preserve">По данному факту возбуждено уголовное дело по признакам преступления, предусмотренного ст. 228 УК РФ (незаконное приобретение, хранение, перевозка, изготовление, переработка наркотических средств). В отношении подозреваемого избрана мера пресечения - подписка о невыезде. </w:t>
      </w:r>
    </w:p>
    <w:p w:rsidR="003F3618" w:rsidRPr="00D331CA" w:rsidRDefault="003F3618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p w:rsidR="00500DB3" w:rsidRPr="00D331CA" w:rsidRDefault="00500DB3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С учетом изложенного и в целях обеспечения общественной безопасности, обеспечения прав и свобод человека и гражданина в 2015 году определить следующие приоритетные направления оперативно-служебной деятельности:</w:t>
      </w:r>
    </w:p>
    <w:p w:rsidR="00500DB3" w:rsidRPr="00D331CA" w:rsidRDefault="00500DB3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 xml:space="preserve">1. Продолжить профилактику преступлений и правонарушений, оздоровление </w:t>
      </w:r>
      <w:proofErr w:type="gramStart"/>
      <w:r w:rsidRPr="00D331CA">
        <w:rPr>
          <w:color w:val="404040"/>
          <w:sz w:val="28"/>
          <w:szCs w:val="28"/>
        </w:rPr>
        <w:t>криминогенной обстановки</w:t>
      </w:r>
      <w:proofErr w:type="gramEnd"/>
      <w:r w:rsidRPr="00D331CA">
        <w:rPr>
          <w:color w:val="404040"/>
          <w:sz w:val="28"/>
          <w:szCs w:val="28"/>
        </w:rPr>
        <w:t xml:space="preserve"> на улицах и в других общественных местах.</w:t>
      </w:r>
    </w:p>
    <w:p w:rsidR="00500DB3" w:rsidRPr="00D331CA" w:rsidRDefault="00500DB3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2. Повышение доверия общества</w:t>
      </w:r>
      <w:r w:rsidR="001E3EEA" w:rsidRPr="00D331CA">
        <w:rPr>
          <w:color w:val="404040"/>
          <w:sz w:val="28"/>
          <w:szCs w:val="28"/>
        </w:rPr>
        <w:t>, граждан к полиции, укрепления взаимодействия с органами власти, местного самоуправления.</w:t>
      </w:r>
    </w:p>
    <w:p w:rsidR="001E3EEA" w:rsidRPr="00D331CA" w:rsidRDefault="001E3EEA" w:rsidP="003A729D">
      <w:pPr>
        <w:ind w:firstLine="540"/>
        <w:contextualSpacing/>
        <w:jc w:val="both"/>
        <w:rPr>
          <w:color w:val="404040"/>
          <w:sz w:val="28"/>
          <w:szCs w:val="28"/>
        </w:rPr>
      </w:pPr>
      <w:r w:rsidRPr="00D331CA">
        <w:rPr>
          <w:color w:val="404040"/>
          <w:sz w:val="28"/>
          <w:szCs w:val="28"/>
        </w:rPr>
        <w:t>3. Укрепление учетно-регистрационной дисциплины, законности при расследовании преступлений, повышение ответственности следователей и дознавателей за процессуальные решения, принимаемые по уголовным делам.</w:t>
      </w:r>
    </w:p>
    <w:p w:rsidR="001F4A12" w:rsidRPr="00D331CA" w:rsidRDefault="001F4A12" w:rsidP="003A729D">
      <w:pPr>
        <w:ind w:firstLine="540"/>
        <w:contextualSpacing/>
        <w:jc w:val="both"/>
        <w:rPr>
          <w:color w:val="404040"/>
          <w:sz w:val="28"/>
          <w:szCs w:val="28"/>
        </w:rPr>
      </w:pPr>
    </w:p>
    <w:sectPr w:rsidR="001F4A12" w:rsidRPr="00D331CA" w:rsidSect="00A554CC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EE2"/>
    <w:multiLevelType w:val="hybridMultilevel"/>
    <w:tmpl w:val="1EC00EB4"/>
    <w:lvl w:ilvl="0" w:tplc="ECECDF60">
      <w:numFmt w:val="bullet"/>
      <w:lvlText w:val="-"/>
      <w:lvlJc w:val="left"/>
      <w:pPr>
        <w:tabs>
          <w:tab w:val="num" w:pos="1377"/>
        </w:tabs>
        <w:ind w:left="137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63CE9"/>
    <w:multiLevelType w:val="hybridMultilevel"/>
    <w:tmpl w:val="C9EE3D68"/>
    <w:lvl w:ilvl="0" w:tplc="D40434D0">
      <w:start w:val="1"/>
      <w:numFmt w:val="decimal"/>
      <w:lvlText w:val="1.%1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8035BC8"/>
    <w:multiLevelType w:val="hybridMultilevel"/>
    <w:tmpl w:val="288CCC94"/>
    <w:lvl w:ilvl="0" w:tplc="74823E6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89296CA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2ED03EA8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3CE0D962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485A0878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1EA862A6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E2CAEC1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8BCC848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7F6C5D0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4A1B267C"/>
    <w:multiLevelType w:val="multilevel"/>
    <w:tmpl w:val="42ECB9D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4">
    <w:nsid w:val="511445DF"/>
    <w:multiLevelType w:val="hybridMultilevel"/>
    <w:tmpl w:val="133A1DF0"/>
    <w:lvl w:ilvl="0" w:tplc="80E43DAA">
      <w:start w:val="3"/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713B5B"/>
    <w:multiLevelType w:val="hybridMultilevel"/>
    <w:tmpl w:val="9C306E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noPunctuationKerning/>
  <w:characterSpacingControl w:val="doNotCompress"/>
  <w:compat/>
  <w:rsids>
    <w:rsidRoot w:val="00B16841"/>
    <w:rsid w:val="00004249"/>
    <w:rsid w:val="00023153"/>
    <w:rsid w:val="000250E2"/>
    <w:rsid w:val="0003597A"/>
    <w:rsid w:val="000815A5"/>
    <w:rsid w:val="000839A8"/>
    <w:rsid w:val="000B55CC"/>
    <w:rsid w:val="000F3892"/>
    <w:rsid w:val="00123632"/>
    <w:rsid w:val="001353D0"/>
    <w:rsid w:val="00147761"/>
    <w:rsid w:val="0015190F"/>
    <w:rsid w:val="00176E98"/>
    <w:rsid w:val="0018098D"/>
    <w:rsid w:val="00193263"/>
    <w:rsid w:val="001B5E7C"/>
    <w:rsid w:val="001D5E3B"/>
    <w:rsid w:val="001D6342"/>
    <w:rsid w:val="001E3EEA"/>
    <w:rsid w:val="001E57EF"/>
    <w:rsid w:val="001F4A12"/>
    <w:rsid w:val="002401F0"/>
    <w:rsid w:val="002A6977"/>
    <w:rsid w:val="002D5CE5"/>
    <w:rsid w:val="0030067B"/>
    <w:rsid w:val="00320224"/>
    <w:rsid w:val="00325AC1"/>
    <w:rsid w:val="003364B9"/>
    <w:rsid w:val="00355154"/>
    <w:rsid w:val="00370193"/>
    <w:rsid w:val="003A2919"/>
    <w:rsid w:val="003A3B83"/>
    <w:rsid w:val="003A729D"/>
    <w:rsid w:val="003C723A"/>
    <w:rsid w:val="003F3618"/>
    <w:rsid w:val="0040249F"/>
    <w:rsid w:val="00413D20"/>
    <w:rsid w:val="004317BE"/>
    <w:rsid w:val="00434BD9"/>
    <w:rsid w:val="00452932"/>
    <w:rsid w:val="0046310C"/>
    <w:rsid w:val="00477083"/>
    <w:rsid w:val="004847D5"/>
    <w:rsid w:val="004C0303"/>
    <w:rsid w:val="004E21AB"/>
    <w:rsid w:val="004E3CDA"/>
    <w:rsid w:val="004F456E"/>
    <w:rsid w:val="00500DB3"/>
    <w:rsid w:val="0056206F"/>
    <w:rsid w:val="00577D3E"/>
    <w:rsid w:val="00581477"/>
    <w:rsid w:val="00582402"/>
    <w:rsid w:val="0058408A"/>
    <w:rsid w:val="00585C0D"/>
    <w:rsid w:val="005A6C1C"/>
    <w:rsid w:val="00625AB2"/>
    <w:rsid w:val="00642F7F"/>
    <w:rsid w:val="00650FA4"/>
    <w:rsid w:val="00657CB1"/>
    <w:rsid w:val="00672232"/>
    <w:rsid w:val="006A093D"/>
    <w:rsid w:val="006C226F"/>
    <w:rsid w:val="006C3EFE"/>
    <w:rsid w:val="006D0AF6"/>
    <w:rsid w:val="006D5647"/>
    <w:rsid w:val="006D69EC"/>
    <w:rsid w:val="006E182D"/>
    <w:rsid w:val="0071066B"/>
    <w:rsid w:val="00745296"/>
    <w:rsid w:val="00755AF2"/>
    <w:rsid w:val="007A2A53"/>
    <w:rsid w:val="007A3ADE"/>
    <w:rsid w:val="007C6194"/>
    <w:rsid w:val="00806EB1"/>
    <w:rsid w:val="00807A7A"/>
    <w:rsid w:val="00813BF2"/>
    <w:rsid w:val="00816AE0"/>
    <w:rsid w:val="0081754D"/>
    <w:rsid w:val="00820EE7"/>
    <w:rsid w:val="00850F99"/>
    <w:rsid w:val="008A1A8B"/>
    <w:rsid w:val="008C6B40"/>
    <w:rsid w:val="008D5EB4"/>
    <w:rsid w:val="00907F15"/>
    <w:rsid w:val="00935C4E"/>
    <w:rsid w:val="009431BE"/>
    <w:rsid w:val="0094438E"/>
    <w:rsid w:val="009825A8"/>
    <w:rsid w:val="009D4328"/>
    <w:rsid w:val="009E56D0"/>
    <w:rsid w:val="00A554CC"/>
    <w:rsid w:val="00AA61E7"/>
    <w:rsid w:val="00AC2A0A"/>
    <w:rsid w:val="00B16841"/>
    <w:rsid w:val="00B30426"/>
    <w:rsid w:val="00B80EDE"/>
    <w:rsid w:val="00B86B05"/>
    <w:rsid w:val="00B944B6"/>
    <w:rsid w:val="00BA1059"/>
    <w:rsid w:val="00BC1B50"/>
    <w:rsid w:val="00BC547D"/>
    <w:rsid w:val="00C1068D"/>
    <w:rsid w:val="00C57FB6"/>
    <w:rsid w:val="00C97614"/>
    <w:rsid w:val="00CA011F"/>
    <w:rsid w:val="00CC2BA8"/>
    <w:rsid w:val="00CE1501"/>
    <w:rsid w:val="00CE6710"/>
    <w:rsid w:val="00CF643D"/>
    <w:rsid w:val="00D272F2"/>
    <w:rsid w:val="00D331CA"/>
    <w:rsid w:val="00D45364"/>
    <w:rsid w:val="00D61F6C"/>
    <w:rsid w:val="00D870EC"/>
    <w:rsid w:val="00D91819"/>
    <w:rsid w:val="00D9449D"/>
    <w:rsid w:val="00DE4001"/>
    <w:rsid w:val="00E037DB"/>
    <w:rsid w:val="00E0669E"/>
    <w:rsid w:val="00E1304A"/>
    <w:rsid w:val="00E13F85"/>
    <w:rsid w:val="00E259B0"/>
    <w:rsid w:val="00E62799"/>
    <w:rsid w:val="00E7575A"/>
    <w:rsid w:val="00EB7777"/>
    <w:rsid w:val="00EC19B0"/>
    <w:rsid w:val="00EF6A82"/>
    <w:rsid w:val="00F139FD"/>
    <w:rsid w:val="00F16BDC"/>
    <w:rsid w:val="00F174BB"/>
    <w:rsid w:val="00F25A63"/>
    <w:rsid w:val="00F50F60"/>
    <w:rsid w:val="00F61DC3"/>
    <w:rsid w:val="00F6508D"/>
    <w:rsid w:val="00F65449"/>
    <w:rsid w:val="00FA0D29"/>
    <w:rsid w:val="00FB1583"/>
    <w:rsid w:val="00FD4667"/>
    <w:rsid w:val="00FD55F5"/>
    <w:rsid w:val="00FE0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F6"/>
    <w:rPr>
      <w:sz w:val="24"/>
      <w:szCs w:val="24"/>
    </w:rPr>
  </w:style>
  <w:style w:type="paragraph" w:styleId="1">
    <w:name w:val="heading 1"/>
    <w:basedOn w:val="a"/>
    <w:next w:val="a"/>
    <w:qFormat/>
    <w:rsid w:val="006D0AF6"/>
    <w:pPr>
      <w:keepNext/>
      <w:jc w:val="center"/>
      <w:outlineLvl w:val="0"/>
    </w:pPr>
    <w:rPr>
      <w:b/>
      <w:bCs/>
      <w:sz w:val="28"/>
    </w:rPr>
  </w:style>
  <w:style w:type="paragraph" w:styleId="3">
    <w:name w:val="heading 3"/>
    <w:basedOn w:val="a"/>
    <w:next w:val="a"/>
    <w:qFormat/>
    <w:rsid w:val="006D0A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6D0AF6"/>
    <w:pPr>
      <w:jc w:val="center"/>
    </w:pPr>
    <w:rPr>
      <w:b/>
      <w:sz w:val="36"/>
      <w:szCs w:val="20"/>
    </w:rPr>
  </w:style>
  <w:style w:type="paragraph" w:styleId="a4">
    <w:name w:val="Body Text"/>
    <w:basedOn w:val="a"/>
    <w:semiHidden/>
    <w:rsid w:val="006D0AF6"/>
    <w:pPr>
      <w:jc w:val="both"/>
    </w:pPr>
    <w:rPr>
      <w:sz w:val="28"/>
    </w:rPr>
  </w:style>
  <w:style w:type="character" w:customStyle="1" w:styleId="a5">
    <w:name w:val="Основной текст Знак"/>
    <w:basedOn w:val="a0"/>
    <w:rsid w:val="006D0AF6"/>
    <w:rPr>
      <w:sz w:val="28"/>
      <w:szCs w:val="24"/>
    </w:rPr>
  </w:style>
  <w:style w:type="paragraph" w:styleId="a6">
    <w:name w:val="Body Text Indent"/>
    <w:basedOn w:val="a"/>
    <w:semiHidden/>
    <w:unhideWhenUsed/>
    <w:rsid w:val="006D0AF6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rsid w:val="006D0AF6"/>
    <w:rPr>
      <w:sz w:val="24"/>
      <w:szCs w:val="24"/>
    </w:rPr>
  </w:style>
  <w:style w:type="character" w:customStyle="1" w:styleId="10">
    <w:name w:val="Заголовок 1 Знак"/>
    <w:basedOn w:val="a0"/>
    <w:rsid w:val="006D0AF6"/>
    <w:rPr>
      <w:b/>
      <w:bCs/>
      <w:sz w:val="28"/>
      <w:szCs w:val="24"/>
    </w:rPr>
  </w:style>
  <w:style w:type="paragraph" w:styleId="2">
    <w:name w:val="Body Text 2"/>
    <w:basedOn w:val="a"/>
    <w:semiHidden/>
    <w:rsid w:val="006D0AF6"/>
    <w:pPr>
      <w:spacing w:after="120" w:line="480" w:lineRule="auto"/>
    </w:pPr>
  </w:style>
  <w:style w:type="character" w:customStyle="1" w:styleId="20">
    <w:name w:val="Основной текст 2 Знак"/>
    <w:basedOn w:val="a0"/>
    <w:rsid w:val="006D0AF6"/>
    <w:rPr>
      <w:sz w:val="24"/>
      <w:szCs w:val="24"/>
    </w:rPr>
  </w:style>
  <w:style w:type="paragraph" w:customStyle="1" w:styleId="11">
    <w:name w:val="Без интервала1"/>
    <w:qFormat/>
    <w:rsid w:val="006D0AF6"/>
    <w:rPr>
      <w:lang w:val="en-US"/>
    </w:rPr>
  </w:style>
  <w:style w:type="paragraph" w:styleId="a8">
    <w:name w:val="List Paragraph"/>
    <w:basedOn w:val="a"/>
    <w:qFormat/>
    <w:rsid w:val="006D0AF6"/>
    <w:pPr>
      <w:ind w:left="720"/>
      <w:contextualSpacing/>
    </w:pPr>
  </w:style>
  <w:style w:type="paragraph" w:styleId="21">
    <w:name w:val="Body Text Indent 2"/>
    <w:basedOn w:val="a"/>
    <w:semiHidden/>
    <w:unhideWhenUsed/>
    <w:rsid w:val="006D0AF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rsid w:val="006D0AF6"/>
    <w:rPr>
      <w:sz w:val="24"/>
      <w:szCs w:val="24"/>
    </w:rPr>
  </w:style>
  <w:style w:type="character" w:customStyle="1" w:styleId="a9">
    <w:name w:val="Название Знак"/>
    <w:basedOn w:val="a0"/>
    <w:rsid w:val="006D0AF6"/>
    <w:rPr>
      <w:b/>
      <w:sz w:val="36"/>
    </w:rPr>
  </w:style>
  <w:style w:type="character" w:customStyle="1" w:styleId="30">
    <w:name w:val="Заголовок 3 Знак"/>
    <w:basedOn w:val="a0"/>
    <w:semiHidden/>
    <w:rsid w:val="006D0AF6"/>
    <w:rPr>
      <w:rFonts w:ascii="Cambria" w:eastAsia="Times New Roman" w:hAnsi="Cambria" w:cs="Times New Roman"/>
      <w:b/>
      <w:bCs/>
      <w:sz w:val="26"/>
      <w:szCs w:val="26"/>
    </w:rPr>
  </w:style>
  <w:style w:type="paragraph" w:styleId="31">
    <w:name w:val="Body Text Indent 3"/>
    <w:basedOn w:val="a"/>
    <w:semiHidden/>
    <w:unhideWhenUsed/>
    <w:rsid w:val="006D0AF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semiHidden/>
    <w:rsid w:val="006D0AF6"/>
    <w:rPr>
      <w:sz w:val="16"/>
      <w:szCs w:val="16"/>
    </w:rPr>
  </w:style>
  <w:style w:type="paragraph" w:styleId="33">
    <w:name w:val="Body Text 3"/>
    <w:basedOn w:val="a"/>
    <w:semiHidden/>
    <w:unhideWhenUsed/>
    <w:rsid w:val="006D0AF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semiHidden/>
    <w:rsid w:val="006D0AF6"/>
    <w:rPr>
      <w:sz w:val="16"/>
      <w:szCs w:val="16"/>
    </w:rPr>
  </w:style>
  <w:style w:type="character" w:styleId="aa">
    <w:name w:val="Hyperlink"/>
    <w:basedOn w:val="a0"/>
    <w:semiHidden/>
    <w:rsid w:val="006D0AF6"/>
    <w:rPr>
      <w:color w:val="0000FF"/>
      <w:u w:val="single"/>
    </w:rPr>
  </w:style>
  <w:style w:type="paragraph" w:styleId="ab">
    <w:name w:val="Block Text"/>
    <w:basedOn w:val="a"/>
    <w:rsid w:val="0018098D"/>
    <w:pPr>
      <w:suppressAutoHyphens/>
      <w:autoSpaceDE w:val="0"/>
      <w:autoSpaceDN w:val="0"/>
      <w:adjustRightInd w:val="0"/>
      <w:spacing w:after="222"/>
      <w:ind w:left="660" w:right="88"/>
      <w:jc w:val="center"/>
    </w:pPr>
    <w:rPr>
      <w:sz w:val="28"/>
      <w:szCs w:val="20"/>
    </w:rPr>
  </w:style>
  <w:style w:type="paragraph" w:customStyle="1" w:styleId="Style15">
    <w:name w:val="Style15"/>
    <w:basedOn w:val="a"/>
    <w:rsid w:val="00D61F6C"/>
    <w:pPr>
      <w:widowControl w:val="0"/>
      <w:autoSpaceDE w:val="0"/>
      <w:autoSpaceDN w:val="0"/>
      <w:adjustRightInd w:val="0"/>
      <w:spacing w:line="317" w:lineRule="exact"/>
      <w:ind w:firstLine="677"/>
    </w:pPr>
    <w:rPr>
      <w:rFonts w:ascii="Courier New" w:hAnsi="Courier New" w:cs="Courier New"/>
    </w:rPr>
  </w:style>
  <w:style w:type="character" w:customStyle="1" w:styleId="FontStyle23">
    <w:name w:val="Font Style23"/>
    <w:rsid w:val="00D61F6C"/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1"/>
    <w:uiPriority w:val="59"/>
    <w:rsid w:val="00EB777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6279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627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1.package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2.package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3.package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4.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perspective val="0"/>
    </c:view3D>
    <c:plotArea>
      <c:layout>
        <c:manualLayout>
          <c:layoutTarget val="inner"/>
          <c:xMode val="edge"/>
          <c:yMode val="edge"/>
          <c:x val="0.30634573304157547"/>
          <c:y val="0.56502242152466353"/>
          <c:w val="0.54266958424507661"/>
          <c:h val="0.43946188340807235"/>
        </c:manualLayout>
      </c:layout>
      <c:pie3DChart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восток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explosion val="15"/>
          <c:dPt>
            <c:idx val="1"/>
            <c:spPr>
              <a:solidFill>
                <a:srgbClr val="993366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2"/>
            <c:spPr>
              <a:solidFill>
                <a:srgbClr val="FFFFCC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Pt>
            <c:idx val="3"/>
            <c:spPr>
              <a:solidFill>
                <a:srgbClr val="CCFFFF"/>
              </a:solidFill>
              <a:ln w="12700">
                <a:solidFill>
                  <a:srgbClr val="000000"/>
                </a:solidFill>
                <a:prstDash val="solid"/>
              </a:ln>
            </c:spPr>
          </c:dPt>
          <c:dLbls>
            <c:numFmt formatCode="0%" sourceLinked="0"/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8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Percent val="1"/>
            <c:showLeaderLines val="1"/>
          </c:dLbls>
          <c:cat>
            <c:strRef>
              <c:f>Sheet1!$B$1:$E$1</c:f>
              <c:strCache>
                <c:ptCount val="4"/>
                <c:pt idx="0">
                  <c:v>Таджикистан</c:v>
                </c:pt>
                <c:pt idx="1">
                  <c:v>Узбекистан</c:v>
                </c:pt>
                <c:pt idx="2">
                  <c:v>Киргизия</c:v>
                </c:pt>
                <c:pt idx="3">
                  <c:v>Украина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18</c:v>
                </c:pt>
                <c:pt idx="1">
                  <c:v>22</c:v>
                </c:pt>
                <c:pt idx="2">
                  <c:v>7</c:v>
                </c:pt>
                <c:pt idx="3">
                  <c:v>5</c:v>
                </c:pt>
              </c:numCache>
            </c:numRef>
          </c:val>
        </c:ser>
      </c:pie3DChart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plotArea>
    <c:legend>
      <c:legendPos val="t"/>
      <c:layout>
        <c:manualLayout>
          <c:xMode val="edge"/>
          <c:yMode val="edge"/>
          <c:x val="0.56455142231947653"/>
          <c:y val="4.9327354260089704E-2"/>
          <c:w val="0.20350109409190398"/>
          <c:h val="0.38116591928251187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9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zero"/>
  </c:chart>
  <c:spPr>
    <a:noFill/>
    <a:ln>
      <a:noFill/>
    </a:ln>
  </c:spPr>
  <c:txPr>
    <a:bodyPr/>
    <a:lstStyle/>
    <a:p>
      <a:pPr>
        <a:defRPr sz="97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hPercent val="49"/>
      <c:depthPercent val="27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9.7087378640776698E-2"/>
          <c:y val="3.896103896103896E-2"/>
          <c:w val="0.87864077669903162"/>
          <c:h val="0.73160173160173281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2014 год</c:v>
                </c:pt>
              </c:strCache>
            </c:strRef>
          </c:tx>
          <c:spPr>
            <a:solidFill>
              <a:srgbClr val="9999FF"/>
            </a:solidFill>
            <a:ln w="12694">
              <a:solidFill>
                <a:srgbClr val="000000"/>
              </a:solidFill>
              <a:prstDash val="solid"/>
            </a:ln>
          </c:spPr>
          <c:dLbls>
            <c:spPr>
              <a:noFill/>
              <a:ln w="25388">
                <a:noFill/>
              </a:ln>
            </c:spPr>
            <c:txPr>
              <a:bodyPr/>
              <a:lstStyle/>
              <a:p>
                <a:pPr algn="dist">
                  <a:defRPr sz="1025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ru-RU"/>
              </a:p>
            </c:txPr>
            <c:showLegendKey val="1"/>
            <c:showVal val="1"/>
          </c:dLbls>
          <c:cat>
            <c:strRef>
              <c:f>Sheet1!$B$1:$C$1</c:f>
              <c:strCache>
                <c:ptCount val="2"/>
                <c:pt idx="0">
                  <c:v>совершено</c:v>
                </c:pt>
                <c:pt idx="1">
                  <c:v>раскрыто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141</c:v>
                </c:pt>
                <c:pt idx="1">
                  <c:v>7</c:v>
                </c:pt>
              </c:numCache>
            </c:numRef>
          </c:val>
        </c:ser>
        <c:ser>
          <c:idx val="2"/>
          <c:order val="1"/>
          <c:tx>
            <c:strRef>
              <c:f>Sheet1!$A$4</c:f>
              <c:strCache>
                <c:ptCount val="1"/>
              </c:strCache>
            </c:strRef>
          </c:tx>
          <c:spPr>
            <a:solidFill>
              <a:srgbClr val="FFFFCC"/>
            </a:solidFill>
            <a:ln w="12694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совершено</c:v>
                </c:pt>
                <c:pt idx="1">
                  <c:v>раскрыто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</c:numCache>
            </c:numRef>
          </c:val>
        </c:ser>
        <c:gapWidth val="100"/>
        <c:gapDepth val="80"/>
        <c:shape val="box"/>
        <c:axId val="101289984"/>
        <c:axId val="101291520"/>
        <c:axId val="0"/>
      </c:bar3DChart>
      <c:catAx>
        <c:axId val="101289984"/>
        <c:scaling>
          <c:orientation val="minMax"/>
        </c:scaling>
        <c:axPos val="b"/>
        <c:numFmt formatCode="General" sourceLinked="1"/>
        <c:tickLblPos val="low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5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01291520"/>
        <c:crosses val="autoZero"/>
        <c:auto val="1"/>
        <c:lblAlgn val="ctr"/>
        <c:lblOffset val="100"/>
        <c:tickLblSkip val="1"/>
        <c:tickMarkSkip val="1"/>
      </c:catAx>
      <c:valAx>
        <c:axId val="101291520"/>
        <c:scaling>
          <c:orientation val="minMax"/>
        </c:scaling>
        <c:axPos val="l"/>
        <c:numFmt formatCode="General" sourceLinked="1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01289984"/>
        <c:crosses val="autoZero"/>
        <c:crossBetween val="between"/>
      </c:valAx>
      <c:spPr>
        <a:solidFill>
          <a:srgbClr val="C0C0C0"/>
        </a:solidFill>
        <a:ln w="12694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41019417475728182"/>
          <c:y val="0.9220779220779215"/>
          <c:w val="0.17961165048543712"/>
          <c:h val="6.9264069264069264E-2"/>
        </c:manualLayout>
      </c:layout>
      <c:spPr>
        <a:noFill/>
        <a:ln w="25388">
          <a:noFill/>
        </a:ln>
      </c:spPr>
      <c:txPr>
        <a:bodyPr/>
        <a:lstStyle/>
        <a:p>
          <a:pPr>
            <a:defRPr sz="690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102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hPercent val="46"/>
      <c:depthPercent val="27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9.9462365591398122E-2"/>
          <c:y val="4.5226130653266333E-2"/>
          <c:w val="0.87365591397849685"/>
          <c:h val="0.71356783919597988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2014 год</c:v>
                </c:pt>
              </c:strCache>
            </c:strRef>
          </c:tx>
          <c:spPr>
            <a:solidFill>
              <a:srgbClr val="9999FF"/>
            </a:solidFill>
            <a:ln w="12698">
              <a:solidFill>
                <a:srgbClr val="000000"/>
              </a:solidFill>
              <a:prstDash val="solid"/>
            </a:ln>
          </c:spPr>
          <c:dLbls>
            <c:spPr>
              <a:noFill/>
              <a:ln w="25396">
                <a:noFill/>
              </a:ln>
            </c:spPr>
            <c:txPr>
              <a:bodyPr/>
              <a:lstStyle/>
              <a:p>
                <a:pPr algn="dist">
                  <a:defRPr sz="875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endParaRPr lang="ru-RU"/>
              </a:p>
            </c:txPr>
            <c:showLegendKey val="1"/>
            <c:showVal val="1"/>
          </c:dLbls>
          <c:cat>
            <c:strRef>
              <c:f>Sheet1!$B$1:$C$1</c:f>
              <c:strCache>
                <c:ptCount val="2"/>
                <c:pt idx="0">
                  <c:v>совершено</c:v>
                </c:pt>
                <c:pt idx="1">
                  <c:v>раскрыто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134</c:v>
                </c:pt>
                <c:pt idx="1">
                  <c:v>6</c:v>
                </c:pt>
              </c:numCache>
            </c:numRef>
          </c:val>
        </c:ser>
        <c:ser>
          <c:idx val="2"/>
          <c:order val="1"/>
          <c:tx>
            <c:strRef>
              <c:f>Sheet1!$A$4</c:f>
              <c:strCache>
                <c:ptCount val="1"/>
              </c:strCache>
            </c:strRef>
          </c:tx>
          <c:spPr>
            <a:solidFill>
              <a:srgbClr val="FFFFCC"/>
            </a:solidFill>
            <a:ln w="12698">
              <a:solidFill>
                <a:srgbClr val="000000"/>
              </a:solidFill>
              <a:prstDash val="solid"/>
            </a:ln>
          </c:spPr>
          <c:cat>
            <c:strRef>
              <c:f>Sheet1!$B$1:$C$1</c:f>
              <c:strCache>
                <c:ptCount val="2"/>
                <c:pt idx="0">
                  <c:v>совершено</c:v>
                </c:pt>
                <c:pt idx="1">
                  <c:v>раскрыто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</c:numCache>
            </c:numRef>
          </c:val>
        </c:ser>
        <c:gapWidth val="100"/>
        <c:gapDepth val="80"/>
        <c:shape val="box"/>
        <c:axId val="100702080"/>
        <c:axId val="100703616"/>
        <c:axId val="0"/>
      </c:bar3DChart>
      <c:catAx>
        <c:axId val="100702080"/>
        <c:scaling>
          <c:orientation val="minMax"/>
        </c:scaling>
        <c:axPos val="b"/>
        <c:numFmt formatCode="General" sourceLinked="1"/>
        <c:tickLblPos val="low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7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00703616"/>
        <c:crosses val="autoZero"/>
        <c:auto val="1"/>
        <c:lblAlgn val="ctr"/>
        <c:lblOffset val="100"/>
        <c:tickLblSkip val="1"/>
        <c:tickMarkSkip val="1"/>
      </c:catAx>
      <c:valAx>
        <c:axId val="100703616"/>
        <c:scaling>
          <c:orientation val="minMax"/>
        </c:scaling>
        <c:axPos val="l"/>
        <c:numFmt formatCode="General" sourceLinked="1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5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00702080"/>
        <c:crosses val="autoZero"/>
        <c:crossBetween val="between"/>
      </c:valAx>
      <c:spPr>
        <a:solidFill>
          <a:srgbClr val="C0C0C0"/>
        </a:solidFill>
        <a:ln w="12698">
          <a:solidFill>
            <a:srgbClr val="808080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40860215053763443"/>
          <c:y val="0.91457286432160756"/>
          <c:w val="0.18279569892473121"/>
          <c:h val="7.5376884422110657E-2"/>
        </c:manualLayout>
      </c:layout>
      <c:spPr>
        <a:noFill/>
        <a:ln w="25396">
          <a:noFill/>
        </a:ln>
      </c:spPr>
      <c:txPr>
        <a:bodyPr/>
        <a:lstStyle/>
        <a:p>
          <a:pPr>
            <a:defRPr sz="595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875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hPercent val="75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7.5471698113207572E-2"/>
          <c:y val="5.576208178438679E-2"/>
          <c:w val="0.56603773584905659"/>
          <c:h val="0.78810408921933051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зарегистрировано в 2013 году</c:v>
                </c:pt>
              </c:strCache>
            </c:strRef>
          </c:tx>
          <c:spPr>
            <a:solidFill>
              <a:srgbClr val="9999FF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17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Val val="1"/>
          </c:dLbls>
          <c:cat>
            <c:strRef>
              <c:f>Sheet1!$B$1:$C$1</c:f>
              <c:strCache>
                <c:ptCount val="2"/>
                <c:pt idx="0">
                  <c:v>мошенничество</c:v>
                </c:pt>
                <c:pt idx="1">
                  <c:v>разбои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101</c:v>
                </c:pt>
                <c:pt idx="1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зарегистрировано в 2014 году</c:v>
                </c:pt>
              </c:strCache>
            </c:strRef>
          </c:tx>
          <c:spPr>
            <a:solidFill>
              <a:srgbClr val="993366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17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Val val="1"/>
          </c:dLbls>
          <c:cat>
            <c:strRef>
              <c:f>Sheet1!$B$1:$C$1</c:f>
              <c:strCache>
                <c:ptCount val="2"/>
                <c:pt idx="0">
                  <c:v>мошенничество</c:v>
                </c:pt>
                <c:pt idx="1">
                  <c:v>разбои</c:v>
                </c:pt>
              </c:strCache>
            </c:strRef>
          </c:cat>
          <c:val>
            <c:numRef>
              <c:f>Sheet1!$B$3:$C$3</c:f>
              <c:numCache>
                <c:formatCode>General</c:formatCode>
                <c:ptCount val="2"/>
                <c:pt idx="0">
                  <c:v>145</c:v>
                </c:pt>
                <c:pt idx="1">
                  <c:v>19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раскрыто в 2014 году</c:v>
                </c:pt>
              </c:strCache>
            </c:strRef>
          </c:tx>
          <c:spPr>
            <a:solidFill>
              <a:srgbClr val="FFFFCC"/>
            </a:solidFill>
            <a:ln w="12700">
              <a:solidFill>
                <a:srgbClr val="000000"/>
              </a:solidFill>
              <a:prstDash val="solid"/>
            </a:ln>
          </c:spPr>
          <c:dLbls>
            <c:spPr>
              <a:noFill/>
              <a:ln w="25400">
                <a:noFill/>
              </a:ln>
            </c:spPr>
            <c:txPr>
              <a:bodyPr/>
              <a:lstStyle/>
              <a:p>
                <a:pPr>
                  <a:defRPr sz="1175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Val val="1"/>
          </c:dLbls>
          <c:cat>
            <c:strRef>
              <c:f>Sheet1!$B$1:$C$1</c:f>
              <c:strCache>
                <c:ptCount val="2"/>
                <c:pt idx="0">
                  <c:v>мошенничество</c:v>
                </c:pt>
                <c:pt idx="1">
                  <c:v>разбои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  <c:pt idx="0">
                  <c:v>26</c:v>
                </c:pt>
                <c:pt idx="1">
                  <c:v>12</c:v>
                </c:pt>
              </c:numCache>
            </c:numRef>
          </c:val>
        </c:ser>
        <c:gapDepth val="0"/>
        <c:shape val="box"/>
        <c:axId val="102225792"/>
        <c:axId val="102227328"/>
        <c:axId val="0"/>
      </c:bar3DChart>
      <c:catAx>
        <c:axId val="102225792"/>
        <c:scaling>
          <c:orientation val="minMax"/>
        </c:scaling>
        <c:axPos val="b"/>
        <c:numFmt formatCode="General" sourceLinked="1"/>
        <c:tickLblPos val="low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7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02227328"/>
        <c:crosses val="autoZero"/>
        <c:auto val="1"/>
        <c:lblAlgn val="ctr"/>
        <c:lblOffset val="100"/>
        <c:tickLblSkip val="1"/>
        <c:tickMarkSkip val="1"/>
      </c:catAx>
      <c:valAx>
        <c:axId val="102227328"/>
        <c:scaling>
          <c:orientation val="minMax"/>
        </c:scaling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75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0222579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6226415094339663"/>
          <c:y val="0.26022304832713711"/>
          <c:w val="0.33018867924528433"/>
          <c:h val="0.48327137546468457"/>
        </c:manualLayout>
      </c:layout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108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1175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ОВД</Company>
  <LinksUpToDate>false</LinksUpToDate>
  <CharactersWithSpaces>13403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Серж</dc:creator>
  <cp:lastModifiedBy>Olga</cp:lastModifiedBy>
  <cp:revision>4</cp:revision>
  <cp:lastPrinted>2015-01-29T16:47:00Z</cp:lastPrinted>
  <dcterms:created xsi:type="dcterms:W3CDTF">2015-01-30T12:05:00Z</dcterms:created>
  <dcterms:modified xsi:type="dcterms:W3CDTF">2015-01-30T16:25:00Z</dcterms:modified>
</cp:coreProperties>
</file>