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b/>
          <w:bCs/>
          <w:caps/>
          <w:color w:val="2E75B6"/>
          <w:sz w:val="26"/>
          <w:szCs w:val="26"/>
        </w:rPr>
        <w:t xml:space="preserve">MARKET RESEARCH &amp; GO-TO-MARKET STRATEGY</w:t>
      </w:r>
    </w:p>
    <w:p>
      <w:pPr>
        <w:spacing w:after="120"/>
      </w:pPr>
      <w:r>
        <w:t xml:space="preserve"/>
      </w:r>
    </w:p>
    <w:p>
      <w:pPr>
        <w:spacing w:after="80"/>
        <w:jc w:val="center"/>
      </w:pPr>
      <w:r>
        <w:rPr>
          <w:b/>
          <w:bCs/>
          <w:color w:val="1F3864"/>
          <w:sz w:val="56"/>
          <w:szCs w:val="56"/>
        </w:rPr>
        <w:t xml:space="preserve">AI &amp; IT Solutions as a Service</w:t>
      </w:r>
    </w:p>
    <w:p>
      <w:pPr>
        <w:spacing w:after="200"/>
        <w:jc w:val="center"/>
      </w:pPr>
      <w:r>
        <w:rPr>
          <w:i/>
          <w:iCs/>
          <w:color w:val="595959"/>
          <w:sz w:val="26"/>
          <w:szCs w:val="26"/>
        </w:rPr>
        <w:t xml:space="preserve">Launching a New Division for AI-Powered Business Transformation</w:t>
      </w:r>
    </w:p>
    <w:p>
      <w:pPr>
        <w:pBdr>
          <w:bottom w:val="single" w:color="2E75B6" w:sz="18" w:space="1"/>
        </w:pBdr>
        <w:spacing w:after="200"/>
      </w:pPr>
      <w:r>
        <w:t xml:space="preserve"/>
      </w:r>
    </w:p>
    <w:p>
      <w:pPr>
        <w:spacing w:after="80"/>
        <w:jc w:val="center"/>
      </w:pPr>
      <w:r>
        <w:rPr>
          <w:b/>
          <w:bCs/>
          <w:color w:val="1F3864"/>
          <w:sz w:val="24"/>
          <w:szCs w:val="24"/>
        </w:rPr>
        <w:t xml:space="preserve">A McKinsey-/BCG-Style Strategic Assessment</w:t>
      </w:r>
    </w:p>
    <w:p>
      <w:pPr>
        <w:spacing w:after="60"/>
        <w:jc w:val="center"/>
      </w:pPr>
      <w:r>
        <w:rPr>
          <w:color w:val="595959"/>
          <w:sz w:val="22"/>
          <w:szCs w:val="22"/>
        </w:rPr>
        <w:t xml:space="preserve">Global Market · Special Focus: India &amp; Gujarat</w:t>
      </w:r>
    </w:p>
    <w:p>
      <w:pPr>
        <w:spacing w:after="400"/>
      </w:pPr>
      <w:r>
        <w:t xml:space="preserve"/>
      </w:r>
    </w:p>
    <w:p>
      <w:pPr>
        <w:spacing w:after="60"/>
        <w:jc w:val="center"/>
      </w:pPr>
      <w:r>
        <w:rPr>
          <w:i/>
          <w:iCs/>
          <w:color w:val="595959"/>
          <w:sz w:val="18"/>
          <w:szCs w:val="18"/>
        </w:rPr>
        <w:t xml:space="preserve">15 Sections · Market Sizing · Competitor Matrix · Industry &amp; Country Analysis · GTM · Roadmap</w:t>
      </w:r>
    </w:p>
    <w:p>
      <w:pPr>
        <w:spacing w:after="600"/>
      </w:pPr>
      <w:r>
        <w:t xml:space="preserve"/>
      </w:r>
    </w:p>
    <w:p>
      <w:pPr>
        <w:spacing w:after="40"/>
        <w:jc w:val="center"/>
      </w:pPr>
      <w:r>
        <w:rPr>
          <w:b/>
          <w:bCs/>
          <w:color w:val="1F3864"/>
          <w:sz w:val="20"/>
          <w:szCs w:val="20"/>
        </w:rPr>
        <w:t xml:space="preserve">Prepared: June 2026</w:t>
      </w:r>
    </w:p>
    <w:p>
      <w:pPr>
        <w:spacing w:after="40"/>
        <w:jc w:val="center"/>
      </w:pPr>
      <w:r>
        <w:rPr>
          <w:color w:val="595959"/>
          <w:sz w:val="18"/>
          <w:szCs w:val="18"/>
        </w:rPr>
        <w:t xml:space="preserve">Strategy &amp; Market Research Report</w:t>
      </w:r>
    </w:p>
    <w:p>
      <w:pPr>
        <w:spacing w:before="400"/>
        <w:jc w:val="center"/>
      </w:pPr>
      <w:r>
        <w:rPr>
          <w:i/>
          <w:iCs/>
          <w:color w:val="595959"/>
          <w:sz w:val="16"/>
          <w:szCs w:val="16"/>
        </w:rPr>
        <w:t xml:space="preserve">CONFIDENTIAL — Internal Strategic Planning Document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Executive Summary</w:t>
      </w:r>
    </w:p>
    <w:p>
      <w:pPr>
        <w:spacing w:after="140" w:line="276"/>
      </w:pPr>
      <w:r>
        <w:rPr>
          <w:i/>
          <w:iCs/>
          <w:color w:val="595959"/>
        </w:rPr>
        <w:t xml:space="preserve">A new AI &amp; IT Solutions division is a strong bet — if it is launched as a focused, productised, AI-native challenger rather than a generalist trying to sell 30 services to everyone.</w:t>
      </w:r>
    </w:p>
    <w:p>
      <w:pPr>
        <w:spacing w:after="120" w:line="276"/>
        <w:jc w:val="both"/>
      </w:pPr>
      <w:r>
        <w:t xml:space="preserve">This report assesses the opportunity to launch an “AI &amp; IT Solutions as a Service” division across six overlapping markets — AI, IT services, AI consulting, automation, digital transformation and SaaS — that together represent over USD 8 trillion in annual technology spend and are compounding at double-digit rates through 2035. The headline conclusion: the market opportunity is large and structurally favourable, but success depends entirely on focus, productisation and speed of proof.</w:t>
      </w:r>
    </w:p>
    <w:p>
      <w:pPr>
        <w:pStyle w:val="Heading2"/>
      </w:pPr>
      <w:r>
        <w:t xml:space="preserve">Key Findings</w:t>
      </w:r>
    </w:p>
    <w:p>
      <w:pPr>
        <w:spacing w:after="40"/>
      </w:pPr>
      <w:r>
        <w:rPr>
          <w:b/>
          <w:bCs/>
          <w:color w:val="2E75B6"/>
          <w:sz w:val="22"/>
          <w:szCs w:val="22"/>
        </w:rPr>
        <w:t xml:space="preserve">$8 T+  </w:t>
      </w:r>
      <w:r>
        <w:rPr>
          <w:color w:val="595959"/>
        </w:rPr>
        <w:t xml:space="preserve">Total addressable technology spend across the six target markets</w:t>
      </w:r>
    </w:p>
    <w:p>
      <w:pPr>
        <w:spacing w:after="40"/>
      </w:pPr>
      <w:r>
        <w:rPr>
          <w:b/>
          <w:bCs/>
          <w:color w:val="2E75B6"/>
          <w:sz w:val="22"/>
          <w:szCs w:val="22"/>
        </w:rPr>
        <w:t xml:space="preserve">36%  </w:t>
      </w:r>
      <w:r>
        <w:rPr>
          <w:color w:val="595959"/>
        </w:rPr>
        <w:t xml:space="preserve">AI-as-a-Service CAGR to 2030 (the steepest-growing pool)</w:t>
      </w:r>
    </w:p>
    <w:p>
      <w:pPr>
        <w:spacing w:after="40"/>
      </w:pPr>
      <w:r>
        <w:rPr>
          <w:b/>
          <w:bCs/>
          <w:color w:val="2E75B6"/>
          <w:sz w:val="22"/>
          <w:szCs w:val="22"/>
        </w:rPr>
        <w:t xml:space="preserve">$282 B  </w:t>
      </w:r>
      <w:r>
        <w:rPr>
          <w:color w:val="595959"/>
        </w:rPr>
        <w:t xml:space="preserve">India tech-industry revenue (FY2025), approaching $300 B in FY2026</w:t>
      </w:r>
    </w:p>
    <w:p>
      <w:pPr>
        <w:spacing w:after="40"/>
      </w:pPr>
      <w:r>
        <w:rPr>
          <w:b/>
          <w:bCs/>
          <w:color w:val="2E75B6"/>
          <w:sz w:val="22"/>
          <w:szCs w:val="22"/>
        </w:rPr>
        <w:t xml:space="preserve">$17 B  </w:t>
      </w:r>
      <w:r>
        <w:rPr>
          <w:color w:val="595959"/>
        </w:rPr>
        <w:t xml:space="preserve">India AI market by 2027 (NASSCOM-BCG)</w:t>
      </w:r>
    </w:p>
    <w:p>
      <w:pPr>
        <w:spacing w:after="40"/>
      </w:pPr>
      <w:r>
        <w:rPr>
          <w:b/>
          <w:bCs/>
          <w:color w:val="2E75B6"/>
          <w:sz w:val="22"/>
          <w:szCs w:val="22"/>
        </w:rPr>
        <w:t xml:space="preserve">63 M  </w:t>
      </w:r>
      <w:r>
        <w:rPr>
          <w:color w:val="595959"/>
        </w:rPr>
        <w:t xml:space="preserve">Indian MSMEs — large, under-served, low AI adoption</w:t>
      </w:r>
    </w:p>
    <w:p>
      <w:pPr>
        <w:spacing w:after="80"/>
      </w:pPr>
      <w:r>
        <w:t xml:space="preserve"/>
      </w:r>
    </w:p>
    <w:p>
      <w:pPr>
        <w:pStyle w:val="Heading2"/>
      </w:pPr>
      <w:r>
        <w:t xml:space="preserve">The Strategic Thesis</w:t>
      </w:r>
    </w:p>
    <w:p>
      <w:pPr>
        <w:pStyle w:val="ListParagraph"/>
        <w:numPr>
          <w:ilvl w:val="0"/>
          <w:numId w:val="2"/>
        </w:numPr>
        <w:spacing w:after="40" w:line="264"/>
      </w:pPr>
      <w:r>
        <w:rPr>
          <w:b/>
          <w:bCs/>
        </w:rPr>
        <w:t xml:space="preserve">Don't fight giants top-down. </w:t>
      </w:r>
      <w:r>
        <w:t xml:space="preserve">Accenture, TCS, Deloitte and peers own the enterprise but ignore the SME/mid-market and specific verticals — the largest unguarded opportunity.</w:t>
      </w:r>
    </w:p>
    <w:p>
      <w:pPr>
        <w:pStyle w:val="ListParagraph"/>
        <w:numPr>
          <w:ilvl w:val="0"/>
          <w:numId w:val="2"/>
        </w:numPr>
        <w:spacing w:after="40" w:line="264"/>
      </w:pPr>
      <w:r>
        <w:rPr>
          <w:b/>
          <w:bCs/>
        </w:rPr>
        <w:t xml:space="preserve">Go narrow, then scale. </w:t>
      </w:r>
      <w:r>
        <w:t xml:space="preserve">Win one industry + region (start: Gujarat manufacturing/exports + SME services), with productised, outcome-based offers.</w:t>
      </w:r>
    </w:p>
    <w:p>
      <w:pPr>
        <w:pStyle w:val="ListParagraph"/>
        <w:numPr>
          <w:ilvl w:val="0"/>
          <w:numId w:val="2"/>
        </w:numPr>
        <w:spacing w:after="40" w:line="264"/>
      </w:pPr>
      <w:r>
        <w:rPr>
          <w:b/>
          <w:bCs/>
        </w:rPr>
        <w:t xml:space="preserve">Recurring over one-off. </w:t>
      </w:r>
      <w:r>
        <w:t xml:space="preserve">Use low-risk projects to fund a growing base of retainers and subscriptions — target 55–75% margins.</w:t>
      </w:r>
    </w:p>
    <w:p>
      <w:pPr>
        <w:pStyle w:val="ListParagraph"/>
        <w:numPr>
          <w:ilvl w:val="0"/>
          <w:numId w:val="2"/>
        </w:numPr>
        <w:spacing w:after="40" w:line="264"/>
      </w:pPr>
      <w:r>
        <w:rPr>
          <w:b/>
          <w:bCs/>
        </w:rPr>
        <w:t xml:space="preserve">Win at home, sell to the world. </w:t>
      </w:r>
      <w:r>
        <w:t xml:space="preserve">Build proof and cash flow in India; export high-margin remote delivery to the UAE/Gulf and US/UK at 5–20× deal sizes.</w:t>
      </w:r>
    </w:p>
    <w:p>
      <w:pPr>
        <w:pStyle w:val="ListParagraph"/>
        <w:numPr>
          <w:ilvl w:val="0"/>
          <w:numId w:val="2"/>
        </w:numPr>
        <w:spacing w:after="40" w:line="264"/>
      </w:pPr>
      <w:r>
        <w:rPr>
          <w:b/>
          <w:bCs/>
        </w:rPr>
        <w:t xml:space="preserve">Lead with quick wins. </w:t>
      </w:r>
      <w:r>
        <w:t xml:space="preserve">AI chatbots/WhatsApp bots, lead-gen &amp; sales automation, workflow automation and AI marketing — fast to sell, fast to deliver, recurring.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Bottom line</w:t>
            </w:r>
          </w:p>
          <w:p>
            <w:pPr>
              <w:spacing w:after="40"/>
            </w:pPr>
            <w:r>
              <w:rPr>
                <w:sz w:val="18"/>
                <w:szCs w:val="18"/>
              </w:rPr>
              <w:t xml:space="preserve">Yes, launch it. Become the #1 AI &amp; automation partner for a focused industry + region, with productised, risk-reversed, outcome-based offers — then expand services, geographies and IP.</w:t>
            </w:r>
          </w:p>
          <w:p>
            <w:pPr>
              <w:spacing w:after="40"/>
            </w:pPr>
            <w:r>
              <w:rPr>
                <w:sz w:val="18"/>
                <w:szCs w:val="18"/>
              </w:rPr>
              <w:t xml:space="preserve">First niche: Gujarat/India SME + manufacturing/export verticals. First services: chatbots, lead-gen, workflow &amp; marketing automation. First market: India → Gulf → US/UK.</w:t>
            </w:r>
          </w:p>
          <w:p>
            <w:pPr>
              <w:spacing w:after="40"/>
            </w:pPr>
            <w:r>
              <w:rPr>
                <w:sz w:val="18"/>
                <w:szCs w:val="18"/>
              </w:rPr>
              <w:t xml:space="preserve">Land 5 paid pilots in 90 days, convert to retainers, publish case studies, and reinvest into recurring revenue and IP. Speed of proof beats breadth of services.</w:t>
            </w:r>
          </w:p>
        </w:tc>
      </w:tr>
    </w:tbl>
    <w:p>
      <w:pPr>
        <w:spacing w:after="120" w:line="276"/>
        <w:jc w:val="both"/>
      </w:pPr>
      <w:r>
        <w:t xml:space="preserve">The remainder of this report provides the detailed market sizing, competitor matrix, industry and country analysis, customer personas, business-model and pricing strategy, go-to-market execution plan, SWOT, risk register, blue-ocean opportunities and a month-by-month 12-month roadmap that support this recommendation.</w:t>
      </w:r>
    </w:p>
    <w:p>
      <w:pPr>
        <w:pStyle w:val="Heading1"/>
        <w:pageBreakBefore/>
      </w:pPr>
      <w:r>
        <w:t xml:space="preserve">1. Market Analysis</w:t>
      </w:r>
    </w:p>
    <w:p>
      <w:pPr>
        <w:spacing w:after="140" w:line="276"/>
      </w:pPr>
      <w:r>
        <w:rPr>
          <w:i/>
          <w:iCs/>
          <w:color w:val="595959"/>
        </w:rPr>
        <w:t xml:space="preserve">The macro opportunity: six overlapping markets — AI, IT services, AI consulting, automation, digital transformation and SaaS — that together exceed USD 8 trillion in annual technology spend and are compounding at double digits through 2035.</w:t>
      </w:r>
    </w:p>
    <w:p>
      <w:pPr>
        <w:spacing w:after="120" w:line="276"/>
        <w:jc w:val="both"/>
      </w:pPr>
      <w:r>
        <w:t xml:space="preserve">The division you are launching sits at the intersection of six large, fast-growing markets. They overlap heavily — an “AI agent” engagement is simultaneously AI, IT services, automation and digital transformation — which is strategically important: a single client relationship can be monetised across multiple budget lines. The figures below are drawn from the leading research houses (Gartner, IDC, NASSCOM-BCG, Grand View, Precedence, MarketsandMarkets, Statista). Estimates vary widely by methodology and scope, so we present ranges and cite the basis of each headline number [refs 1–12].</w:t>
      </w:r>
    </w:p>
    <w:p>
      <w:pPr>
        <w:pStyle w:val="Heading2"/>
      </w:pPr>
      <w:r>
        <w:t xml:space="preserve">1.1 The Six Markets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0"/>
        <w:gridCol w:w="1500"/>
        <w:gridCol w:w="1500"/>
        <w:gridCol w:w="1400"/>
        <w:gridCol w:w="2780"/>
      </w:tblGrid>
      <w:tr>
        <w:trPr>
          <w:tblHeader/>
        </w:trPr>
        <w:tc>
          <w:tcPr>
            <w:tcW w:type="dxa" w:w="218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Market</w:t>
            </w:r>
          </w:p>
        </w:tc>
        <w:tc>
          <w:tcPr>
            <w:tcW w:type="dxa" w:w="1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2024–25 Size</w:t>
            </w:r>
          </w:p>
        </w:tc>
        <w:tc>
          <w:tcPr>
            <w:tcW w:type="dxa" w:w="1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2030–35 Proj.</w:t>
            </w:r>
          </w:p>
        </w:tc>
        <w:tc>
          <w:tcPr>
            <w:tcW w:type="dxa" w:w="14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CAGR</w:t>
            </w:r>
          </w:p>
        </w:tc>
        <w:tc>
          <w:tcPr>
            <w:tcW w:type="dxa" w:w="278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Primary Source Basis</w:t>
            </w:r>
          </w:p>
        </w:tc>
      </w:tr>
      <w:tr>
        <w:trPr>
          <w:tblHeader w:val="false"/>
        </w:trPr>
        <w:tc>
          <w:tcPr>
            <w:tcW w:type="dxa" w:w="2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AI (total market)</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$224–758 B</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$1.2–4.2 T</w:t>
            </w:r>
          </w:p>
        </w:tc>
        <w:tc>
          <w:tcPr>
            <w:tcW w:type="dxa" w:w="1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19–33%</w:t>
            </w:r>
          </w:p>
        </w:tc>
        <w:tc>
          <w:tcPr>
            <w:tcW w:type="dxa" w:w="27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Precedence; NextMSC; market.us [1,2]</w:t>
            </w:r>
          </w:p>
        </w:tc>
      </w:tr>
      <w:tr>
        <w:trPr>
          <w:tblHeader w:val="false"/>
        </w:trPr>
        <w:tc>
          <w:tcPr>
            <w:tcW w:type="dxa" w:w="2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AI-as-a-Service (AIaaS)</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$16.1 B</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$105 B (2030)</w:t>
            </w:r>
          </w:p>
        </w:tc>
        <w:tc>
          <w:tcPr>
            <w:tcW w:type="dxa" w:w="1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36.1%</w:t>
            </w:r>
          </w:p>
        </w:tc>
        <w:tc>
          <w:tcPr>
            <w:tcW w:type="dxa" w:w="27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Grand View Research [3]</w:t>
            </w:r>
          </w:p>
        </w:tc>
      </w:tr>
      <w:tr>
        <w:trPr>
          <w:tblHeader w:val="false"/>
        </w:trPr>
        <w:tc>
          <w:tcPr>
            <w:tcW w:type="dxa" w:w="2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Generative AI</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$22–104 B</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$325–990 B</w:t>
            </w:r>
          </w:p>
        </w:tc>
        <w:tc>
          <w:tcPr>
            <w:tcW w:type="dxa" w:w="1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29–43%</w:t>
            </w:r>
          </w:p>
        </w:tc>
        <w:tc>
          <w:tcPr>
            <w:tcW w:type="dxa" w:w="27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Grand View; GMI; Fortune BI [4]</w:t>
            </w:r>
          </w:p>
        </w:tc>
      </w:tr>
      <w:tr>
        <w:trPr>
          <w:tblHeader w:val="false"/>
        </w:trPr>
        <w:tc>
          <w:tcPr>
            <w:tcW w:type="dxa" w:w="2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7"/>
                <w:szCs w:val="17"/>
              </w:rPr>
              <w:t xml:space="preserve">IT Services</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$1.6–1.9 T</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$3.2–4.7 T</w:t>
            </w:r>
          </w:p>
        </w:tc>
        <w:tc>
          <w:tcPr>
            <w:tcW w:type="dxa" w:w="1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7–10%</w:t>
            </w:r>
          </w:p>
        </w:tc>
        <w:tc>
          <w:tcPr>
            <w:tcW w:type="dxa" w:w="27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Precedence; Grand View; Gartner [5,6]</w:t>
            </w:r>
          </w:p>
        </w:tc>
      </w:tr>
      <w:tr>
        <w:trPr>
          <w:tblHeader w:val="false"/>
        </w:trPr>
        <w:tc>
          <w:tcPr>
            <w:tcW w:type="dxa" w:w="2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AI Consulting</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$8.8–22 B</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$91–258 B</w:t>
            </w:r>
          </w:p>
        </w:tc>
        <w:tc>
          <w:tcPr>
            <w:tcW w:type="dxa" w:w="1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26–36%</w:t>
            </w:r>
          </w:p>
        </w:tc>
        <w:tc>
          <w:tcPr>
            <w:tcW w:type="dxa" w:w="27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Future Market Insights; BRI [7,8]</w:t>
            </w:r>
          </w:p>
        </w:tc>
      </w:tr>
      <w:tr>
        <w:trPr>
          <w:tblHeader w:val="false"/>
        </w:trPr>
        <w:tc>
          <w:tcPr>
            <w:tcW w:type="dxa" w:w="2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RPA</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$11–28 B</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$132–247 B</w:t>
            </w:r>
          </w:p>
        </w:tc>
        <w:tc>
          <w:tcPr>
            <w:tcW w:type="dxa" w:w="1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24–36%</w:t>
            </w:r>
          </w:p>
        </w:tc>
        <w:tc>
          <w:tcPr>
            <w:tcW w:type="dxa" w:w="27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Precedence; SkyQuest; Technavio [9]</w:t>
            </w:r>
          </w:p>
        </w:tc>
      </w:tr>
      <w:tr>
        <w:trPr>
          <w:tblHeader w:val="false"/>
        </w:trPr>
        <w:tc>
          <w:tcPr>
            <w:tcW w:type="dxa" w:w="2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Hyperautomation</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$16–66 B</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$38–306 B</w:t>
            </w:r>
          </w:p>
        </w:tc>
        <w:tc>
          <w:tcPr>
            <w:tcW w:type="dxa" w:w="1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17–20%</w:t>
            </w:r>
          </w:p>
        </w:tc>
        <w:tc>
          <w:tcPr>
            <w:tcW w:type="dxa" w:w="27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Precedence; Mordor [9]</w:t>
            </w:r>
          </w:p>
        </w:tc>
      </w:tr>
      <w:tr>
        <w:trPr>
          <w:tblHeader w:val="false"/>
        </w:trPr>
        <w:tc>
          <w:tcPr>
            <w:tcW w:type="dxa" w:w="2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Digital Transformation</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$1.07–1.5 T</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$4.6–5.0 T</w:t>
            </w:r>
          </w:p>
        </w:tc>
        <w:tc>
          <w:tcPr>
            <w:tcW w:type="dxa" w:w="1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18–28%</w:t>
            </w:r>
          </w:p>
        </w:tc>
        <w:tc>
          <w:tcPr>
            <w:tcW w:type="dxa" w:w="27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Grand View; TBRC [10,11]</w:t>
            </w:r>
          </w:p>
        </w:tc>
      </w:tr>
      <w:tr>
        <w:trPr>
          <w:tblHeader w:val="false"/>
        </w:trPr>
        <w:tc>
          <w:tcPr>
            <w:tcW w:type="dxa" w:w="2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SaaS</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$399–408 B</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$774 B–1.37 T</w:t>
            </w:r>
          </w:p>
        </w:tc>
        <w:tc>
          <w:tcPr>
            <w:tcW w:type="dxa" w:w="1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12–22%</w:t>
            </w:r>
          </w:p>
        </w:tc>
        <w:tc>
          <w:tcPr>
            <w:tcW w:type="dxa" w:w="27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Grand View; Precedence; Technavio [12]</w:t>
            </w:r>
          </w:p>
        </w:tc>
      </w:tr>
    </w:tbl>
    <w:p>
      <w:pPr>
        <w:spacing w:after="160" w:before="40"/>
      </w:pPr>
      <w:r>
        <w:rPr>
          <w:i/>
          <w:iCs/>
          <w:color w:val="595959"/>
          <w:sz w:val="16"/>
          <w:szCs w:val="16"/>
        </w:rPr>
        <w:t xml:space="preserve">Figure 1. Market-sizing summary. Ranges reflect divergent analyst scope; mid-points used for planning.</w:t>
      </w:r>
    </w:p>
    <w:p>
      <w:pPr>
        <w:pStyle w:val="Heading2"/>
      </w:pPr>
      <w:r>
        <w:t xml:space="preserve">1.2 Market Size — Relative Scale (2024–25)</w:t>
      </w:r>
    </w:p>
    <w:p>
      <w:pPr>
        <w:spacing w:after="120" w:line="276"/>
        <w:jc w:val="both"/>
      </w:pPr>
      <w:r>
        <w:t xml:space="preserve">To plan capital and hiring, what matters is relative scale and growth, not a single contested number. IT services is the cash-flow ocean; AI and digital transformation are the fast-rising tides; AIaaS, GenAI and AI consulting are small today but the steepest-growing pools — precisely where a new, AI-first entrant can win disproportionate share.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00"/>
        <w:gridCol w:w="4760"/>
        <w:gridCol w:w="1900"/>
      </w:tblGrid>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IT Services</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760"/>
              <w:gridCol w:w="1"/>
            </w:tblGrid>
            <w:tr>
              <w:tc>
                <w:tcPr>
                  <w:tcW w:type="dxa" w:w="4760"/>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1"/>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~$1.75 T</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Digital Transf.</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264"/>
              <w:gridCol w:w="1496"/>
            </w:tblGrid>
            <w:tr>
              <w:tc>
                <w:tcPr>
                  <w:tcW w:type="dxa" w:w="3264"/>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1496"/>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~$1.2 T</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AI (total)</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1360"/>
              <w:gridCol w:w="3400"/>
            </w:tblGrid>
            <w:tr>
              <w:tc>
                <w:tcPr>
                  <w:tcW w:type="dxa" w:w="1360"/>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3400"/>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~$500 B</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SaaS</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1088"/>
              <w:gridCol w:w="3672"/>
            </w:tblGrid>
            <w:tr>
              <w:tc>
                <w:tcPr>
                  <w:tcW w:type="dxa" w:w="1088"/>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3672"/>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~$400 B</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Hyperautomation</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180"/>
              <w:gridCol w:w="4580"/>
            </w:tblGrid>
            <w:tr>
              <w:tc>
                <w:tcPr>
                  <w:tcW w:type="dxa" w:w="180"/>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4580"/>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~$66 B</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RPA</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76"/>
              <w:gridCol w:w="4684"/>
            </w:tblGrid>
            <w:tr>
              <w:tc>
                <w:tcPr>
                  <w:tcW w:type="dxa" w:w="76"/>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4684"/>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~$28 B</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GenAI</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163"/>
              <w:gridCol w:w="4597"/>
            </w:tblGrid>
            <w:tr>
              <w:tc>
                <w:tcPr>
                  <w:tcW w:type="dxa" w:w="163"/>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4597"/>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~$60 B</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AIaaS</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4"/>
              <w:gridCol w:w="4716"/>
            </w:tblGrid>
            <w:tr>
              <w:tc>
                <w:tcPr>
                  <w:tcW w:type="dxa" w:w="44"/>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4716"/>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~$16 B</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AI Consulting</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1"/>
              <w:gridCol w:w="4719"/>
            </w:tblGrid>
            <w:tr>
              <w:tc>
                <w:tcPr>
                  <w:tcW w:type="dxa" w:w="41"/>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4719"/>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~$15 B</w:t>
            </w:r>
          </w:p>
        </w:tc>
      </w:tr>
    </w:tbl>
    <w:p>
      <w:pPr>
        <w:spacing w:after="160" w:before="40"/>
      </w:pPr>
      <w:r>
        <w:rPr>
          <w:i/>
          <w:iCs/>
          <w:color w:val="595959"/>
          <w:sz w:val="16"/>
          <w:szCs w:val="16"/>
        </w:rPr>
        <w:t xml:space="preserve">Figure 2. Approximate 2024–25 market size (USD, log-feel scale). Source: composite of refs 1–12.</w:t>
      </w:r>
    </w:p>
    <w:p>
      <w:pPr>
        <w:pStyle w:val="Heading2"/>
      </w:pPr>
      <w:r>
        <w:t xml:space="preserve">1.3 Growth Rates — Where the Momentum Is</w:t>
      </w:r>
    </w:p>
    <w:p>
      <w:pPr>
        <w:spacing w:after="120" w:line="276"/>
        <w:jc w:val="both"/>
      </w:pPr>
      <w:r>
        <w:t xml:space="preserve">The new division should over-index toward the high-CAGR pools while using IT-services demand as the entry door. The order below is the order in which value is migrating.</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00"/>
        <w:gridCol w:w="4760"/>
        <w:gridCol w:w="1900"/>
      </w:tblGrid>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Generative AI</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760"/>
              <w:gridCol w:w="1"/>
            </w:tblGrid>
            <w:tr>
              <w:tc>
                <w:tcPr>
                  <w:tcW w:type="dxa" w:w="4760"/>
                  <w:tcBorders>
                    <w:top w:val="none" w:color="FFFFFF" w:sz="0"/>
                    <w:left w:val="none" w:color="FFFFFF" w:sz="0"/>
                    <w:bottom w:val="none" w:color="FFFFFF" w:sz="0"/>
                    <w:right w:val="none" w:color="FFFFFF" w:sz="0"/>
                  </w:tcBorders>
                  <w:shd w:fill="548235" w:val="clear"/>
                  <w:tcMar>
                    <w:top w:type="dxa" w:w="30"/>
                    <w:left w:type="dxa" w:w="0"/>
                    <w:bottom w:type="dxa" w:w="30"/>
                    <w:right w:type="dxa" w:w="0"/>
                  </w:tcMar>
                </w:tcPr>
                <w:p>
                  <w:r>
                    <w:rPr>
                      <w:sz w:val="14"/>
                      <w:szCs w:val="14"/>
                    </w:rPr>
                    <w:t xml:space="preserve"/>
                  </w:r>
                </w:p>
              </w:tc>
              <w:tc>
                <w:tcPr>
                  <w:tcW w:type="dxa" w:w="1"/>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29–43%</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AIaaS</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985"/>
              <w:gridCol w:w="775"/>
            </w:tblGrid>
            <w:tr>
              <w:tc>
                <w:tcPr>
                  <w:tcW w:type="dxa" w:w="3985"/>
                  <w:tcBorders>
                    <w:top w:val="none" w:color="FFFFFF" w:sz="0"/>
                    <w:left w:val="none" w:color="FFFFFF" w:sz="0"/>
                    <w:bottom w:val="none" w:color="FFFFFF" w:sz="0"/>
                    <w:right w:val="none" w:color="FFFFFF" w:sz="0"/>
                  </w:tcBorders>
                  <w:shd w:fill="548235" w:val="clear"/>
                  <w:tcMar>
                    <w:top w:type="dxa" w:w="30"/>
                    <w:left w:type="dxa" w:w="0"/>
                    <w:bottom w:type="dxa" w:w="30"/>
                    <w:right w:type="dxa" w:w="0"/>
                  </w:tcMar>
                </w:tcPr>
                <w:p>
                  <w:r>
                    <w:rPr>
                      <w:sz w:val="14"/>
                      <w:szCs w:val="14"/>
                    </w:rPr>
                    <w:t xml:space="preserve"/>
                  </w:r>
                </w:p>
              </w:tc>
              <w:tc>
                <w:tcPr>
                  <w:tcW w:type="dxa" w:w="775"/>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~36%</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RPA</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874"/>
              <w:gridCol w:w="886"/>
            </w:tblGrid>
            <w:tr>
              <w:tc>
                <w:tcPr>
                  <w:tcW w:type="dxa" w:w="3874"/>
                  <w:tcBorders>
                    <w:top w:val="none" w:color="FFFFFF" w:sz="0"/>
                    <w:left w:val="none" w:color="FFFFFF" w:sz="0"/>
                    <w:bottom w:val="none" w:color="FFFFFF" w:sz="0"/>
                    <w:right w:val="none" w:color="FFFFFF" w:sz="0"/>
                  </w:tcBorders>
                  <w:shd w:fill="548235" w:val="clear"/>
                  <w:tcMar>
                    <w:top w:type="dxa" w:w="30"/>
                    <w:left w:type="dxa" w:w="0"/>
                    <w:bottom w:type="dxa" w:w="30"/>
                    <w:right w:type="dxa" w:w="0"/>
                  </w:tcMar>
                </w:tcPr>
                <w:p>
                  <w:r>
                    <w:rPr>
                      <w:sz w:val="14"/>
                      <w:szCs w:val="14"/>
                    </w:rPr>
                    <w:t xml:space="preserve"/>
                  </w:r>
                </w:p>
              </w:tc>
              <w:tc>
                <w:tcPr>
                  <w:tcW w:type="dxa" w:w="886"/>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24–36%</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AI (total)</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653"/>
              <w:gridCol w:w="1107"/>
            </w:tblGrid>
            <w:tr>
              <w:tc>
                <w:tcPr>
                  <w:tcW w:type="dxa" w:w="3653"/>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1107"/>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19–33%</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AI Consulting</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321"/>
              <w:gridCol w:w="1439"/>
            </w:tblGrid>
            <w:tr>
              <w:tc>
                <w:tcPr>
                  <w:tcW w:type="dxa" w:w="3321"/>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1439"/>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26–36%</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Digital Transf.</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100"/>
              <w:gridCol w:w="1660"/>
            </w:tblGrid>
            <w:tr>
              <w:tc>
                <w:tcPr>
                  <w:tcW w:type="dxa" w:w="3100"/>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1660"/>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18–28%</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Hyperautomation</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2103"/>
              <w:gridCol w:w="2657"/>
            </w:tblGrid>
            <w:tr>
              <w:tc>
                <w:tcPr>
                  <w:tcW w:type="dxa" w:w="2103"/>
                  <w:tcBorders>
                    <w:top w:val="none" w:color="FFFFFF" w:sz="0"/>
                    <w:left w:val="none" w:color="FFFFFF" w:sz="0"/>
                    <w:bottom w:val="none" w:color="FFFFFF" w:sz="0"/>
                    <w:right w:val="none" w:color="FFFFFF" w:sz="0"/>
                  </w:tcBorders>
                  <w:shd w:fill="BF8F00" w:val="clear"/>
                  <w:tcMar>
                    <w:top w:type="dxa" w:w="30"/>
                    <w:left w:type="dxa" w:w="0"/>
                    <w:bottom w:type="dxa" w:w="30"/>
                    <w:right w:type="dxa" w:w="0"/>
                  </w:tcMar>
                </w:tcPr>
                <w:p>
                  <w:r>
                    <w:rPr>
                      <w:sz w:val="14"/>
                      <w:szCs w:val="14"/>
                    </w:rPr>
                    <w:t xml:space="preserve"/>
                  </w:r>
                </w:p>
              </w:tc>
              <w:tc>
                <w:tcPr>
                  <w:tcW w:type="dxa" w:w="2657"/>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17–20%</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SaaS</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1882"/>
              <w:gridCol w:w="2878"/>
            </w:tblGrid>
            <w:tr>
              <w:tc>
                <w:tcPr>
                  <w:tcW w:type="dxa" w:w="1882"/>
                  <w:tcBorders>
                    <w:top w:val="none" w:color="FFFFFF" w:sz="0"/>
                    <w:left w:val="none" w:color="FFFFFF" w:sz="0"/>
                    <w:bottom w:val="none" w:color="FFFFFF" w:sz="0"/>
                    <w:right w:val="none" w:color="FFFFFF" w:sz="0"/>
                  </w:tcBorders>
                  <w:shd w:fill="BF8F00" w:val="clear"/>
                  <w:tcMar>
                    <w:top w:type="dxa" w:w="30"/>
                    <w:left w:type="dxa" w:w="0"/>
                    <w:bottom w:type="dxa" w:w="30"/>
                    <w:right w:type="dxa" w:w="0"/>
                  </w:tcMar>
                </w:tcPr>
                <w:p>
                  <w:r>
                    <w:rPr>
                      <w:sz w:val="14"/>
                      <w:szCs w:val="14"/>
                    </w:rPr>
                    <w:t xml:space="preserve"/>
                  </w:r>
                </w:p>
              </w:tc>
              <w:tc>
                <w:tcPr>
                  <w:tcW w:type="dxa" w:w="2878"/>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12–22%</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IT Services</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996"/>
              <w:gridCol w:w="3764"/>
            </w:tblGrid>
            <w:tr>
              <w:tc>
                <w:tcPr>
                  <w:tcW w:type="dxa" w:w="996"/>
                  <w:tcBorders>
                    <w:top w:val="none" w:color="FFFFFF" w:sz="0"/>
                    <w:left w:val="none" w:color="FFFFFF" w:sz="0"/>
                    <w:bottom w:val="none" w:color="FFFFFF" w:sz="0"/>
                    <w:right w:val="none" w:color="FFFFFF" w:sz="0"/>
                  </w:tcBorders>
                  <w:shd w:fill="BF8F00" w:val="clear"/>
                  <w:tcMar>
                    <w:top w:type="dxa" w:w="30"/>
                    <w:left w:type="dxa" w:w="0"/>
                    <w:bottom w:type="dxa" w:w="30"/>
                    <w:right w:type="dxa" w:w="0"/>
                  </w:tcMar>
                </w:tcPr>
                <w:p>
                  <w:r>
                    <w:rPr>
                      <w:sz w:val="14"/>
                      <w:szCs w:val="14"/>
                    </w:rPr>
                    <w:t xml:space="preserve"/>
                  </w:r>
                </w:p>
              </w:tc>
              <w:tc>
                <w:tcPr>
                  <w:tcW w:type="dxa" w:w="3764"/>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7–10%</w:t>
            </w:r>
          </w:p>
        </w:tc>
      </w:tr>
    </w:tbl>
    <w:p>
      <w:pPr>
        <w:spacing w:after="160" w:before="40"/>
      </w:pPr>
      <w:r>
        <w:rPr>
          <w:i/>
          <w:iCs/>
          <w:color w:val="595959"/>
          <w:sz w:val="16"/>
          <w:szCs w:val="16"/>
        </w:rPr>
        <w:t xml:space="preserve">Figure 3. Upper-bound CAGR by market. Source: refs 1–12.</w:t>
      </w:r>
    </w:p>
    <w:p>
      <w:pPr>
        <w:pStyle w:val="Heading2"/>
      </w:pPr>
      <w:r>
        <w:t xml:space="preserve">1.4 Future Projections (2025–2035)</w:t>
      </w:r>
    </w:p>
    <w:p>
      <w:pPr>
        <w:spacing w:after="120" w:line="276"/>
        <w:jc w:val="both"/>
      </w:pPr>
      <w:r>
        <w:t xml:space="preserve">Across the planning horizon, three things compound simultaneously: (a) AI shifts from pilots to production, (b) automation moves from task-level RPA to agentic, end-to-end process automation, and (c) buyers consolidate vendors toward partners who can do strategy, build and run. The consensus trajectory:</w:t>
      </w:r>
    </w:p>
    <w:p>
      <w:pPr>
        <w:pStyle w:val="ListParagraph"/>
        <w:numPr>
          <w:ilvl w:val="0"/>
          <w:numId w:val="2"/>
        </w:numPr>
        <w:spacing w:after="40" w:line="264"/>
      </w:pPr>
      <w:r>
        <w:t xml:space="preserve">By 2027: India's domestic AI market alone reaches ~USD 17 B (NASSCOM-BCG); enterprise GenAI crosses from experimentation to budgeted line-items [13].</w:t>
      </w:r>
    </w:p>
    <w:p>
      <w:pPr>
        <w:pStyle w:val="ListParagraph"/>
        <w:numPr>
          <w:ilvl w:val="0"/>
          <w:numId w:val="2"/>
        </w:numPr>
        <w:spacing w:after="40" w:line="264"/>
      </w:pPr>
      <w:r>
        <w:t xml:space="preserve">By 2030: Digital transformation spend approaches USD 4.6–5.0 T; AIaaS ~USD 105 B; SaaS USD 0.8–1.4 T; AI agents become a distinct, multi-hundred-billion-dollar category.</w:t>
      </w:r>
    </w:p>
    <w:p>
      <w:pPr>
        <w:pStyle w:val="ListParagraph"/>
        <w:numPr>
          <w:ilvl w:val="0"/>
          <w:numId w:val="2"/>
        </w:numPr>
        <w:spacing w:after="40" w:line="264"/>
      </w:pPr>
      <w:r>
        <w:t xml:space="preserve">By 2034–35: Total AI market plausibly USD 1.2–4.2 T; IT services USD 3.2–4.7 T; RPA USD 132–247 B. AI becomes a horizontal layer in essentially every IT and BPO contract.</w:t>
      </w:r>
    </w:p>
    <w:p>
      <w:pPr>
        <w:pStyle w:val="Heading2"/>
      </w:pPr>
      <w:r>
        <w:t xml:space="preserve">1.5 Demand Trends</w:t>
      </w:r>
    </w:p>
    <w:p>
      <w:pPr>
        <w:pStyle w:val="ListParagraph"/>
        <w:numPr>
          <w:ilvl w:val="0"/>
          <w:numId w:val="2"/>
        </w:numPr>
        <w:spacing w:after="40" w:line="264"/>
      </w:pPr>
      <w:r>
        <w:rPr>
          <w:b/>
          <w:bCs/>
        </w:rPr>
        <w:t xml:space="preserve">From pilots to production. </w:t>
      </w:r>
      <w:r>
        <w:t xml:space="preserve">The dominant 2025–2030 theme is operationalising GenAI — moving the ~70–80% of stalled pilots into measurable ROI. Buyers want outcomes, not demos.</w:t>
      </w:r>
    </w:p>
    <w:p>
      <w:pPr>
        <w:pStyle w:val="ListParagraph"/>
        <w:numPr>
          <w:ilvl w:val="0"/>
          <w:numId w:val="2"/>
        </w:numPr>
        <w:spacing w:after="40" w:line="264"/>
      </w:pPr>
      <w:r>
        <w:rPr>
          <w:b/>
          <w:bCs/>
        </w:rPr>
        <w:t xml:space="preserve">Agentic AI. </w:t>
      </w:r>
      <w:r>
        <w:t xml:space="preserve">Autonomous, tool-using AI agents are the fastest-emerging sub-category, projected by Precedence to reach ~USD 295 B by 2035. They subsume chatbots, RPA and workflow automation into one paradigm.</w:t>
      </w:r>
    </w:p>
    <w:p>
      <w:pPr>
        <w:pStyle w:val="ListParagraph"/>
        <w:numPr>
          <w:ilvl w:val="0"/>
          <w:numId w:val="2"/>
        </w:numPr>
        <w:spacing w:after="40" w:line="264"/>
      </w:pPr>
      <w:r>
        <w:rPr>
          <w:b/>
          <w:bCs/>
        </w:rPr>
        <w:t xml:space="preserve">Vendor consolidation + 'outcome' pricing. </w:t>
      </w:r>
      <w:r>
        <w:t xml:space="preserve">CXOs are cutting vendor counts and shifting from time-and-materials to outcome- and consumption-based pricing.</w:t>
      </w:r>
    </w:p>
    <w:p>
      <w:pPr>
        <w:pStyle w:val="ListParagraph"/>
        <w:numPr>
          <w:ilvl w:val="0"/>
          <w:numId w:val="2"/>
        </w:numPr>
        <w:spacing w:after="40" w:line="264"/>
      </w:pPr>
      <w:r>
        <w:rPr>
          <w:b/>
          <w:bCs/>
        </w:rPr>
        <w:t xml:space="preserve">SME / mid-market democratisation. </w:t>
      </w:r>
      <w:r>
        <w:t xml:space="preserve">Cloud + low-code + GenAI have collapsed the cost of automation, opening a vast under-served SME market — acute in India where 63 M MSMEs run on WhatsApp and Excel [14].</w:t>
      </w:r>
    </w:p>
    <w:p>
      <w:pPr>
        <w:pStyle w:val="ListParagraph"/>
        <w:numPr>
          <w:ilvl w:val="0"/>
          <w:numId w:val="2"/>
        </w:numPr>
        <w:spacing w:after="40" w:line="264"/>
      </w:pPr>
      <w:r>
        <w:rPr>
          <w:b/>
          <w:bCs/>
        </w:rPr>
        <w:t xml:space="preserve">Data &amp; governance first. </w:t>
      </w:r>
      <w:r>
        <w:t xml:space="preserve">Buyers increasingly understand that AI value is gated by data readiness, security and governance — creating durable advisory + data-engineering demand.</w:t>
      </w:r>
    </w:p>
    <w:p>
      <w:pPr>
        <w:pStyle w:val="Heading2"/>
      </w:pPr>
      <w:r>
        <w:t xml:space="preserve">1.6 Major Growth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Driver</w:t>
            </w:r>
          </w:p>
        </w:tc>
        <w:tc>
          <w:tcPr>
            <w:tcW w:type="dxa" w:w="63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Why it expands the market</w:t>
            </w:r>
          </w:p>
        </w:tc>
      </w:tr>
      <w:tr>
        <w:trPr>
          <w:tblHeader w:val="false"/>
        </w:trPr>
        <w:tc>
          <w:tcPr>
            <w:tcW w:type="dxa" w:w="30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GenAI productivity proof</w:t>
            </w:r>
          </w:p>
        </w:tc>
        <w:tc>
          <w:tcPr>
            <w:tcW w:type="dxa" w:w="63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Documented 20–50% productivity gains in code, support, marketing and back-office push CFOs from curiosity to budget.</w:t>
            </w:r>
          </w:p>
        </w:tc>
      </w:tr>
      <w:tr>
        <w:trPr>
          <w:tblHeader w:val="false"/>
        </w:trPr>
        <w:tc>
          <w:tcPr>
            <w:tcW w:type="dxa" w:w="30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Labour cost &amp; shortages</w:t>
            </w:r>
          </w:p>
        </w:tc>
        <w:tc>
          <w:tcPr>
            <w:tcW w:type="dxa" w:w="63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Wage inflation and talent scarcity make automation a board-level cost lever, not an IT experiment.</w:t>
            </w:r>
          </w:p>
        </w:tc>
      </w:tr>
      <w:tr>
        <w:trPr>
          <w:tblHeader w:val="false"/>
        </w:trPr>
        <w:tc>
          <w:tcPr>
            <w:tcW w:type="dxa" w:w="30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Cloud maturity</w:t>
            </w:r>
          </w:p>
        </w:tc>
        <w:tc>
          <w:tcPr>
            <w:tcW w:type="dxa" w:w="63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Hyperscaler AI services (Azure OpenAI, AWS Bedrock, Google Vertex) remove infra barriers, shrinking time-to-value.</w:t>
            </w:r>
          </w:p>
        </w:tc>
      </w:tr>
      <w:tr>
        <w:trPr>
          <w:tblHeader w:val="false"/>
        </w:trPr>
        <w:tc>
          <w:tcPr>
            <w:tcW w:type="dxa" w:w="30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Digital public infrastructure (India)</w:t>
            </w:r>
          </w:p>
        </w:tc>
        <w:tc>
          <w:tcPr>
            <w:tcW w:type="dxa" w:w="63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UPI, GST, ONDC, Account Aggregator and DigiLocker create structured data + rails that make automation deployable at SME scale.</w:t>
            </w:r>
          </w:p>
        </w:tc>
      </w:tr>
      <w:tr>
        <w:trPr>
          <w:tblHeader w:val="false"/>
        </w:trPr>
        <w:tc>
          <w:tcPr>
            <w:tcW w:type="dxa" w:w="30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Regulatory &amp; ESG reporting</w:t>
            </w:r>
          </w:p>
        </w:tc>
        <w:tc>
          <w:tcPr>
            <w:tcW w:type="dxa" w:w="63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Compliance, audit and sustainability reporting create non-discretionary analytics + automation demand.</w:t>
            </w:r>
          </w:p>
        </w:tc>
      </w:tr>
      <w:tr>
        <w:trPr>
          <w:tblHeader w:val="false"/>
        </w:trPr>
        <w:tc>
          <w:tcPr>
            <w:tcW w:type="dxa" w:w="30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Competitive FOMO</w:t>
            </w:r>
          </w:p>
        </w:tc>
        <w:tc>
          <w:tcPr>
            <w:tcW w:type="dxa" w:w="63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Once a category leader adopts AI, peers must follow — driving fast, sector-by-sector diffusion.</w:t>
            </w:r>
          </w:p>
        </w:tc>
      </w:tr>
    </w:tbl>
    <w:p>
      <w:pPr>
        <w:pStyle w:val="Heading2"/>
      </w:pPr>
      <w:r>
        <w:t xml:space="preserve">1.7 Market Challenges</w:t>
      </w:r>
    </w:p>
    <w:p>
      <w:pPr>
        <w:pStyle w:val="ListParagraph"/>
        <w:numPr>
          <w:ilvl w:val="0"/>
          <w:numId w:val="2"/>
        </w:numPr>
        <w:spacing w:after="40" w:line="264"/>
      </w:pPr>
      <w:r>
        <w:t xml:space="preserve">Pilot-to-production gap: most GenAI pilots never reach ROI; trust, data quality and change management are the blockers.</w:t>
      </w:r>
    </w:p>
    <w:p>
      <w:pPr>
        <w:pStyle w:val="ListParagraph"/>
        <w:numPr>
          <w:ilvl w:val="0"/>
          <w:numId w:val="2"/>
        </w:numPr>
        <w:spacing w:after="40" w:line="264"/>
      </w:pPr>
      <w:r>
        <w:t xml:space="preserve">Talent scarcity &amp; wage inflation in AI/ML engineering, MLOps and data engineering.</w:t>
      </w:r>
    </w:p>
    <w:p>
      <w:pPr>
        <w:pStyle w:val="ListParagraph"/>
        <w:numPr>
          <w:ilvl w:val="0"/>
          <w:numId w:val="2"/>
        </w:numPr>
        <w:spacing w:after="40" w:line="264"/>
      </w:pPr>
      <w:r>
        <w:t xml:space="preserve">Commoditisation pressure: low-code + foundation models compress the price of 'simple' builds.</w:t>
      </w:r>
    </w:p>
    <w:p>
      <w:pPr>
        <w:pStyle w:val="ListParagraph"/>
        <w:numPr>
          <w:ilvl w:val="0"/>
          <w:numId w:val="2"/>
        </w:numPr>
        <w:spacing w:after="40" w:line="264"/>
      </w:pPr>
      <w:r>
        <w:t xml:space="preserve">Security, privacy, IP and hallucination risk slow enterprise adoption and lengthen sales cycles.</w:t>
      </w:r>
    </w:p>
    <w:p>
      <w:pPr>
        <w:pStyle w:val="ListParagraph"/>
        <w:numPr>
          <w:ilvl w:val="0"/>
          <w:numId w:val="2"/>
        </w:numPr>
        <w:spacing w:after="40" w:line="264"/>
      </w:pPr>
      <w:r>
        <w:t xml:space="preserve">Buyer skepticism after over-hyped 2023–24 pilots; ROI proof is now a precondition, not a nicety.</w:t>
      </w:r>
    </w:p>
    <w:p>
      <w:pPr>
        <w:pStyle w:val="ListParagraph"/>
        <w:numPr>
          <w:ilvl w:val="0"/>
          <w:numId w:val="2"/>
        </w:numPr>
        <w:spacing w:after="40" w:line="264"/>
      </w:pPr>
      <w:r>
        <w:t xml:space="preserve">Regulatory uncertainty (EU AI Act, India DPDP Act 2023, sectoral rules) raises compliance cost.</w:t>
      </w:r>
    </w:p>
    <w:p>
      <w:pPr>
        <w:pStyle w:val="Heading2"/>
      </w:pPr>
      <w:r>
        <w:t xml:space="preserve">1.8 Technology Trends to Build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Trend</w:t>
            </w:r>
          </w:p>
        </w:tc>
        <w:tc>
          <w:tcPr>
            <w:tcW w:type="dxa" w:w="67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Implication for the new division</w:t>
            </w:r>
          </w:p>
        </w:tc>
      </w:tr>
      <w:tr>
        <w:trPr>
          <w:tblHeader w:val="false"/>
        </w:trPr>
        <w:tc>
          <w:tcPr>
            <w:tcW w:type="dxa" w:w="2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Agentic AI / multi-agent systems</w:t>
            </w:r>
          </w:p>
        </w:tc>
        <w:tc>
          <w:tcPr>
            <w:tcW w:type="dxa" w:w="67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Build a reusable agent framework (orchestration, tools, guardrails) as core IP and a repeatable offer.</w:t>
            </w:r>
          </w:p>
        </w:tc>
      </w:tr>
      <w:tr>
        <w:trPr>
          <w:tblHeader w:val="false"/>
        </w:trPr>
        <w:tc>
          <w:tcPr>
            <w:tcW w:type="dxa" w:w="2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RAG &amp; enterprise knowledge</w:t>
            </w:r>
          </w:p>
        </w:tc>
        <w:tc>
          <w:tcPr>
            <w:tcW w:type="dxa" w:w="67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Retrieval-augmented assistants over private data are the #1 'safe' enterprise GenAI entry point.</w:t>
            </w:r>
          </w:p>
        </w:tc>
      </w:tr>
      <w:tr>
        <w:trPr>
          <w:tblHeader w:val="false"/>
        </w:trPr>
        <w:tc>
          <w:tcPr>
            <w:tcW w:type="dxa" w:w="2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Small / open models + fine-tuning</w:t>
            </w:r>
          </w:p>
        </w:tc>
        <w:tc>
          <w:tcPr>
            <w:tcW w:type="dxa" w:w="67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On-prem / private deployments (Llama, Mistral, fine-tuned SLMs) win regulated and cost-sensitive buyers.</w:t>
            </w:r>
          </w:p>
        </w:tc>
      </w:tr>
      <w:tr>
        <w:trPr>
          <w:tblHeader w:val="false"/>
        </w:trPr>
        <w:tc>
          <w:tcPr>
            <w:tcW w:type="dxa" w:w="2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AI + RPA convergence (IPA)</w:t>
            </w:r>
          </w:p>
        </w:tc>
        <w:tc>
          <w:tcPr>
            <w:tcW w:type="dxa" w:w="67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Intelligent process automation replaces brittle RPA; position as the upgrade path.</w:t>
            </w:r>
          </w:p>
        </w:tc>
      </w:tr>
      <w:tr>
        <w:trPr>
          <w:tblHeader w:val="false"/>
        </w:trPr>
        <w:tc>
          <w:tcPr>
            <w:tcW w:type="dxa" w:w="2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Vertical AI / domain copilots</w:t>
            </w:r>
          </w:p>
        </w:tc>
        <w:tc>
          <w:tcPr>
            <w:tcW w:type="dxa" w:w="67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Industry-specific solutions command premium pricing and defend against horizontal commoditisation.</w:t>
            </w:r>
          </w:p>
        </w:tc>
      </w:tr>
      <w:tr>
        <w:trPr>
          <w:tblHeader w:val="false"/>
        </w:trPr>
        <w:tc>
          <w:tcPr>
            <w:tcW w:type="dxa" w:w="2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Vector DBs, MLOps, LLMOps</w:t>
            </w:r>
          </w:p>
        </w:tc>
        <w:tc>
          <w:tcPr>
            <w:tcW w:type="dxa" w:w="67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Productionising and monitoring AI is a recurring, sticky services line.</w:t>
            </w:r>
          </w:p>
        </w:tc>
      </w:tr>
      <w:tr>
        <w:trPr>
          <w:tblHeader w:val="false"/>
        </w:trPr>
        <w:tc>
          <w:tcPr>
            <w:tcW w:type="dxa" w:w="2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Computer vision &amp; Voice AI</w:t>
            </w:r>
          </w:p>
        </w:tc>
        <w:tc>
          <w:tcPr>
            <w:tcW w:type="dxa" w:w="67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Manufacturing QC, retail analytics and voice agents open non-chat AI revenue.</w:t>
            </w:r>
          </w:p>
        </w:tc>
      </w:tr>
    </w:tbl>
    <w:p>
      <w:pPr>
        <w:pStyle w:val="Heading2"/>
      </w:pPr>
      <w:r>
        <w:t xml:space="preserve">1.9 Market Gaps &amp; Future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Where a focused new entrant can win</w:t>
            </w:r>
          </w:p>
          <w:p>
            <w:pPr>
              <w:spacing w:after="40"/>
            </w:pPr>
            <w:r>
              <w:rPr>
                <w:sz w:val="18"/>
                <w:szCs w:val="18"/>
              </w:rPr>
              <w:t xml:space="preserve">1. The SME / mid-market 'last mile' — affordable, productised AI &amp; automation that the Big-4/SIs ignore because deal sizes are small.</w:t>
            </w:r>
          </w:p>
          <w:p>
            <w:pPr>
              <w:spacing w:after="40"/>
            </w:pPr>
            <w:r>
              <w:rPr>
                <w:sz w:val="18"/>
                <w:szCs w:val="18"/>
              </w:rPr>
              <w:t xml:space="preserve">2. Outcome-based, vertical solutions (clinic ops, exporter documentation, factory QC) instead of generic 'AI consulting'.</w:t>
            </w:r>
          </w:p>
          <w:p>
            <w:pPr>
              <w:spacing w:after="40"/>
            </w:pPr>
            <w:r>
              <w:rPr>
                <w:sz w:val="18"/>
                <w:szCs w:val="18"/>
              </w:rPr>
              <w:t xml:space="preserve">3. Production &amp; governance — rescuing stalled pilots and running AI in production (MLOps/LLMOps managed services).</w:t>
            </w:r>
          </w:p>
          <w:p>
            <w:pPr>
              <w:spacing w:after="40"/>
            </w:pPr>
            <w:r>
              <w:rPr>
                <w:sz w:val="18"/>
                <w:szCs w:val="18"/>
              </w:rPr>
              <w:t xml:space="preserve">4. Tier-2/3 India &amp; cost-sensitive global SMBs — 30–40% lower delivery cost than metros, near-zero incumbent coverage [15].</w:t>
            </w:r>
          </w:p>
          <w:p>
            <w:pPr>
              <w:spacing w:after="40"/>
            </w:pPr>
            <w:r>
              <w:rPr>
                <w:sz w:val="18"/>
                <w:szCs w:val="18"/>
              </w:rPr>
              <w:t xml:space="preserve">5. AI-native delivery — using AI internally to deliver faster/cheaper than incumbents whose economics depend on headcount.</w:t>
            </w:r>
          </w:p>
        </w:tc>
      </w:tr>
    </w:tbl>
    <w:p>
      <w:pPr>
        <w:spacing w:after="160"/>
      </w:pPr>
      <w:r>
        <w:rPr>
          <w:i/>
          <w:iCs/>
          <w:color w:val="595959"/>
          <w:sz w:val="16"/>
          <w:szCs w:val="16"/>
        </w:rPr>
        <w:t xml:space="preserve">Source: Composite of Precedence Research, Grand View Research, MarketsandMarkets, NextMSC, market.us, Future Market Insights, Business Research Insights, Technavio, NASSCOM Strategic Review 2025, NASSCOM-BCG, World Economic Forum, Statista (2024–2026). Full citations in References.</w:t>
      </w:r>
    </w:p>
    <w:p>
      <w:pPr>
        <w:pStyle w:val="Heading1"/>
        <w:pageBreakBefore/>
      </w:pPr>
      <w:r>
        <w:t xml:space="preserve">2. Global Competitor Analysis</w:t>
      </w:r>
    </w:p>
    <w:p>
      <w:pPr>
        <w:spacing w:after="140" w:line="276"/>
      </w:pPr>
      <w:r>
        <w:rPr>
          <w:i/>
          <w:iCs/>
          <w:color w:val="595959"/>
        </w:rPr>
        <w:t xml:space="preserve">The field splits into three tiers: global giants who own the enterprise, mid-cap specialists who own the analytics/AI niche, and AI-first challengers redefining delivery. A new entrant cannot beat any of them at their own game — it must pick an unguarded edge.</w:t>
      </w:r>
    </w:p>
    <w:p>
      <w:pPr>
        <w:spacing w:after="120" w:line="276"/>
        <w:jc w:val="both"/>
      </w:pPr>
      <w:r>
        <w:t xml:space="preserve">We profile the competitive set in three tiers. Tier 1 are the global system integrators and consulting firms that dominate enterprise budgets. Tier 2 are mid-sized, often analytics/AI-pure-play specialists. Tier 3 are platforms and AI-first challengers. Financials are latest reported (FY2024–25) and rounded; private-company figures are best-available estimates and flagged accordingly [refs 16–22].</w:t>
      </w:r>
    </w:p>
    <w:p>
      <w:pPr>
        <w:pStyle w:val="Heading2"/>
      </w:pPr>
      <w:r>
        <w:t xml:space="preserve">2.1 Competitive Landscape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0"/>
        <w:gridCol w:w="2650"/>
        <w:gridCol w:w="2650"/>
        <w:gridCol w:w="2610"/>
      </w:tblGrid>
      <w:tr>
        <w:trPr>
          <w:tblHeader/>
        </w:trPr>
        <w:tc>
          <w:tcPr>
            <w:tcW w:type="dxa" w:w="14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Tier</w:t>
            </w:r>
          </w:p>
        </w:tc>
        <w:tc>
          <w:tcPr>
            <w:tcW w:type="dxa" w:w="26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Who they are</w:t>
            </w:r>
          </w:p>
        </w:tc>
        <w:tc>
          <w:tcPr>
            <w:tcW w:type="dxa" w:w="26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Strength</w:t>
            </w:r>
          </w:p>
        </w:tc>
        <w:tc>
          <w:tcPr>
            <w:tcW w:type="dxa" w:w="261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Where they're weak (your opening)</w:t>
            </w:r>
          </w:p>
        </w:tc>
      </w:tr>
      <w:tr>
        <w:trPr>
          <w:tblHeader w:val="false"/>
        </w:trPr>
        <w:tc>
          <w:tcPr>
            <w:tcW w:type="dxa" w:w="1450"/>
            <w:tcBorders>
              <w:top w:val="single" w:color="B8C4D9" w:sz="1"/>
              <w:left w:val="single" w:color="B8C4D9" w:sz="1"/>
              <w:bottom w:val="single" w:color="B8C4D9" w:sz="1"/>
              <w:right w:val="single" w:color="B8C4D9" w:sz="1"/>
            </w:tcBorders>
            <w:shd w:fill="D9E2F3" w:val="clear"/>
            <w:tcMar>
              <w:top w:type="dxa" w:w="50"/>
              <w:left w:type="dxa" w:w="110"/>
              <w:bottom w:type="dxa" w:w="50"/>
              <w:right w:type="dxa" w:w="90"/>
            </w:tcMar>
            <w:vAlign w:val="center"/>
          </w:tcPr>
          <w:p>
            <w:pPr>
              <w:spacing w:after="0" w:line="240"/>
              <w:jc w:val="left"/>
            </w:pPr>
            <w:r>
              <w:rPr>
                <w:b/>
                <w:bCs/>
                <w:color w:val="000000"/>
                <w:sz w:val="16"/>
                <w:szCs w:val="16"/>
              </w:rPr>
              <w:t xml:space="preserve">Tier 1</w:t>
            </w:r>
          </w:p>
          <w:p>
            <w:pPr>
              <w:spacing w:after="0" w:line="240"/>
              <w:jc w:val="left"/>
            </w:pPr>
            <w:r>
              <w:rPr>
                <w:b/>
                <w:bCs/>
                <w:color w:val="000000"/>
                <w:sz w:val="16"/>
                <w:szCs w:val="16"/>
              </w:rPr>
              <w:t xml:space="preserve">Global giants</w:t>
            </w:r>
          </w:p>
        </w:tc>
        <w:tc>
          <w:tcPr>
            <w:tcW w:type="dxa" w:w="2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Accenture, Deloitte, TCS, Infosys, IBM, Capgemini, Cognizant, PwC, Wipro, HCLTech</w:t>
            </w:r>
          </w:p>
        </w:tc>
        <w:tc>
          <w:tcPr>
            <w:tcW w:type="dxa" w:w="2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Scale, trust, global delivery, deep enterprise relationships</w:t>
            </w:r>
          </w:p>
        </w:tc>
        <w:tc>
          <w:tcPr>
            <w:tcW w:type="dxa" w:w="26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Expensive, slow, ignore SMEs, generalist; high min. deal size</w:t>
            </w:r>
          </w:p>
        </w:tc>
      </w:tr>
      <w:tr>
        <w:trPr>
          <w:tblHeader w:val="false"/>
        </w:trPr>
        <w:tc>
          <w:tcPr>
            <w:tcW w:type="dxa" w:w="1450"/>
            <w:tcBorders>
              <w:top w:val="single" w:color="B8C4D9" w:sz="1"/>
              <w:left w:val="single" w:color="B8C4D9" w:sz="1"/>
              <w:bottom w:val="single" w:color="B8C4D9" w:sz="1"/>
              <w:right w:val="single" w:color="B8C4D9" w:sz="1"/>
            </w:tcBorders>
            <w:shd w:fill="D9E2F3" w:val="clear"/>
            <w:tcMar>
              <w:top w:type="dxa" w:w="50"/>
              <w:left w:type="dxa" w:w="110"/>
              <w:bottom w:type="dxa" w:w="50"/>
              <w:right w:type="dxa" w:w="90"/>
            </w:tcMar>
            <w:vAlign w:val="center"/>
          </w:tcPr>
          <w:p>
            <w:pPr>
              <w:spacing w:after="0" w:line="240"/>
              <w:jc w:val="left"/>
            </w:pPr>
            <w:r>
              <w:rPr>
                <w:b/>
                <w:bCs/>
                <w:color w:val="000000"/>
                <w:sz w:val="16"/>
                <w:szCs w:val="16"/>
              </w:rPr>
              <w:t xml:space="preserve">Tier 2</w:t>
            </w:r>
          </w:p>
          <w:p>
            <w:pPr>
              <w:spacing w:after="0" w:line="240"/>
              <w:jc w:val="left"/>
            </w:pPr>
            <w:r>
              <w:rPr>
                <w:b/>
                <w:bCs/>
                <w:color w:val="000000"/>
                <w:sz w:val="16"/>
                <w:szCs w:val="16"/>
              </w:rPr>
              <w:t xml:space="preserve">Specialists</w:t>
            </w:r>
          </w:p>
        </w:tc>
        <w:tc>
          <w:tcPr>
            <w:tcW w:type="dxa" w:w="2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Fractal, Tiger Analytics, Quantiphi, Thoughtworks, Persistent, LTIMindtree, Nagarro, Tech Mahindra</w:t>
            </w:r>
          </w:p>
        </w:tc>
        <w:tc>
          <w:tcPr>
            <w:tcW w:type="dxa" w:w="2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Deep AI/data skill, faster, better price-value</w:t>
            </w:r>
          </w:p>
        </w:tc>
        <w:tc>
          <w:tcPr>
            <w:tcW w:type="dxa" w:w="26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Still enterprise-focused; limited SME productisation</w:t>
            </w:r>
          </w:p>
        </w:tc>
      </w:tr>
      <w:tr>
        <w:trPr>
          <w:tblHeader w:val="false"/>
        </w:trPr>
        <w:tc>
          <w:tcPr>
            <w:tcW w:type="dxa" w:w="1450"/>
            <w:tcBorders>
              <w:top w:val="single" w:color="B8C4D9" w:sz="1"/>
              <w:left w:val="single" w:color="B8C4D9" w:sz="1"/>
              <w:bottom w:val="single" w:color="B8C4D9" w:sz="1"/>
              <w:right w:val="single" w:color="B8C4D9" w:sz="1"/>
            </w:tcBorders>
            <w:shd w:fill="D9E2F3" w:val="clear"/>
            <w:tcMar>
              <w:top w:type="dxa" w:w="50"/>
              <w:left w:type="dxa" w:w="110"/>
              <w:bottom w:type="dxa" w:w="50"/>
              <w:right w:type="dxa" w:w="90"/>
            </w:tcMar>
            <w:vAlign w:val="center"/>
          </w:tcPr>
          <w:p>
            <w:pPr>
              <w:spacing w:after="0" w:line="240"/>
              <w:jc w:val="left"/>
            </w:pPr>
            <w:r>
              <w:rPr>
                <w:b/>
                <w:bCs/>
                <w:color w:val="000000"/>
                <w:sz w:val="16"/>
                <w:szCs w:val="16"/>
              </w:rPr>
              <w:t xml:space="preserve">Tier 3</w:t>
            </w:r>
          </w:p>
          <w:p>
            <w:pPr>
              <w:spacing w:after="0" w:line="240"/>
              <w:jc w:val="left"/>
            </w:pPr>
            <w:r>
              <w:rPr>
                <w:b/>
                <w:bCs/>
                <w:color w:val="000000"/>
                <w:sz w:val="16"/>
                <w:szCs w:val="16"/>
              </w:rPr>
              <w:t xml:space="preserve">AI-first / platforms</w:t>
            </w:r>
          </w:p>
        </w:tc>
        <w:tc>
          <w:tcPr>
            <w:tcW w:type="dxa" w:w="2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Palantir, UiPath, Automation Anywhere, ServiceNow, DataRobot + 1000s of GenAI startups</w:t>
            </w:r>
          </w:p>
        </w:tc>
        <w:tc>
          <w:tcPr>
            <w:tcW w:type="dxa" w:w="2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Product leverage, cutting-edge, high margin</w:t>
            </w:r>
          </w:p>
        </w:tc>
        <w:tc>
          <w:tcPr>
            <w:tcW w:type="dxa" w:w="26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Product not service; need partners for last-mile delivery</w:t>
            </w:r>
          </w:p>
        </w:tc>
      </w:tr>
    </w:tbl>
    <w:p>
      <w:pPr>
        <w:pStyle w:val="Heading2"/>
      </w:pPr>
      <w:r>
        <w:t xml:space="preserve">2.2 Tier 1 — Global Giants (Deep Profiles)</w:t>
      </w:r>
    </w:p>
    <w:p>
      <w:pPr>
        <w:pStyle w:val="Heading3"/>
      </w:pPr>
      <w:r>
        <w:t xml:space="preserve">Accenture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Field</w:t>
            </w:r>
          </w:p>
        </w:tc>
        <w:tc>
          <w:tcPr>
            <w:tcW w:type="dxa" w:w="69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Detail</w:t>
            </w:r>
          </w:p>
        </w:tc>
      </w:tr>
      <w:tr>
        <w:trPr>
          <w:tblHeader w:val="false"/>
        </w:trPr>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HQ / Website</w:t>
            </w:r>
          </w:p>
        </w:tc>
        <w:tc>
          <w:tcPr>
            <w:tcW w:type="dxa" w:w="69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Dublin, Ireland · accenture.com</w:t>
            </w:r>
          </w:p>
        </w:tc>
      </w:tr>
      <w:tr>
        <w:trPr>
          <w:tblHeader w:val="false"/>
        </w:trPr>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Revenue / Employees</w:t>
            </w:r>
          </w:p>
        </w:tc>
        <w:tc>
          <w:tcPr>
            <w:tcW w:type="dxa" w:w="69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~USD 69.7 B (FY2025) · ~799,000 staff [16]</w:t>
            </w:r>
          </w:p>
        </w:tc>
      </w:tr>
      <w:tr>
        <w:trPr>
          <w:tblHeader w:val="false"/>
        </w:trPr>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Services</w:t>
            </w:r>
          </w:p>
        </w:tc>
        <w:tc>
          <w:tcPr>
            <w:tcW w:type="dxa" w:w="69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Strategy, consulting, technology, operations, Song (marketing), Industry X; end-to-end digital + AI transformation</w:t>
            </w:r>
          </w:p>
        </w:tc>
      </w:tr>
      <w:tr>
        <w:trPr>
          <w:tblHeader w:val="false"/>
        </w:trPr>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AI capability</w:t>
            </w:r>
          </w:p>
        </w:tc>
        <w:tc>
          <w:tcPr>
            <w:tcW w:type="dxa" w:w="69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GenAI new bookings ~USD 5.9 B FY2025; 'reinvention' positioning; massive cloud + data partnerships</w:t>
            </w:r>
          </w:p>
        </w:tc>
      </w:tr>
      <w:tr>
        <w:trPr>
          <w:tblHeader w:val="false"/>
        </w:trPr>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Pricing / model</w:t>
            </w:r>
          </w:p>
        </w:tc>
        <w:tc>
          <w:tcPr>
            <w:tcW w:type="dxa" w:w="69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Premium T&amp;M + outcome; multi-year managed services. Enterprise only</w:t>
            </w:r>
          </w:p>
        </w:tc>
      </w:tr>
      <w:tr>
        <w:trPr>
          <w:tblHeader w:val="false"/>
        </w:trPr>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Strengths</w:t>
            </w:r>
          </w:p>
        </w:tc>
        <w:tc>
          <w:tcPr>
            <w:tcW w:type="dxa" w:w="69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Unmatched scale, C-suite trust, breadth, delivery muscle</w:t>
            </w:r>
          </w:p>
        </w:tc>
      </w:tr>
      <w:tr>
        <w:trPr>
          <w:tblHeader w:val="false"/>
        </w:trPr>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Weaknesses</w:t>
            </w:r>
          </w:p>
        </w:tc>
        <w:tc>
          <w:tcPr>
            <w:tcW w:type="dxa" w:w="69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Very expensive; slow; not built for SME/mid-market; generalist vs niche depth</w:t>
            </w:r>
          </w:p>
        </w:tc>
      </w:tr>
      <w:tr>
        <w:trPr>
          <w:tblHeader w:val="false"/>
        </w:trPr>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Positioning</w:t>
            </w:r>
          </w:p>
        </w:tc>
        <w:tc>
          <w:tcPr>
            <w:tcW w:type="dxa" w:w="69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The default 'safe' choice for Fortune 2000 reinvention</w:t>
            </w:r>
          </w:p>
        </w:tc>
      </w:tr>
    </w:tbl>
    <w:p>
      <w:pPr>
        <w:pStyle w:val="Heading3"/>
      </w:pPr>
      <w:r>
        <w:t xml:space="preserve">TCS, Infosys, Wipro, HCLTech (Indian IT majors)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50"/>
        <w:gridCol w:w="1450"/>
        <w:gridCol w:w="1500"/>
        <w:gridCol w:w="3260"/>
      </w:tblGrid>
      <w:tr>
        <w:trPr>
          <w:tblHeader/>
        </w:trPr>
        <w:tc>
          <w:tcPr>
            <w:tcW w:type="dxa" w:w="1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Company</w:t>
            </w:r>
          </w:p>
        </w:tc>
        <w:tc>
          <w:tcPr>
            <w:tcW w:type="dxa" w:w="14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Revenue</w:t>
            </w:r>
          </w:p>
        </w:tc>
        <w:tc>
          <w:tcPr>
            <w:tcW w:type="dxa" w:w="14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Employees</w:t>
            </w:r>
          </w:p>
        </w:tc>
        <w:tc>
          <w:tcPr>
            <w:tcW w:type="dxa" w:w="1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HQ</w:t>
            </w:r>
          </w:p>
        </w:tc>
        <w:tc>
          <w:tcPr>
            <w:tcW w:type="dxa" w:w="32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Notes</w:t>
            </w:r>
          </w:p>
        </w:tc>
      </w:tr>
      <w:tr>
        <w:trPr>
          <w:tblHeader w:val="false"/>
        </w:trPr>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TCS</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~$29 B</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~607,000</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Mumbai</w:t>
            </w:r>
          </w:p>
        </w:tc>
        <w:tc>
          <w:tcPr>
            <w:tcW w:type="dxa" w:w="32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Largest Indian IT; AI deal pipeline building; deep BFSI/retail</w:t>
            </w:r>
          </w:p>
        </w:tc>
      </w:tr>
      <w:tr>
        <w:trPr>
          <w:tblHeader w:val="false"/>
        </w:trPr>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Infosys</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~$19 B</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~317,000</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Bengaluru</w:t>
            </w:r>
          </w:p>
        </w:tc>
        <w:tc>
          <w:tcPr>
            <w:tcW w:type="dxa" w:w="32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FY25 ~₹1.37 T; Topaz AI suite; 60%+ digital bookings [16]</w:t>
            </w:r>
          </w:p>
        </w:tc>
      </w:tr>
      <w:tr>
        <w:trPr>
          <w:tblHeader w:val="false"/>
        </w:trPr>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Wipro</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~$10.5 B</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~233,000</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Bengaluru</w:t>
            </w:r>
          </w:p>
        </w:tc>
        <w:tc>
          <w:tcPr>
            <w:tcW w:type="dxa" w:w="32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ai360; bookings +51% YoY in a recent quarter [16]</w:t>
            </w:r>
          </w:p>
        </w:tc>
      </w:tr>
      <w:tr>
        <w:trPr>
          <w:tblHeader w:val="false"/>
        </w:trPr>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HCLTech</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~$13.8 B</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~220,000</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Noida</w:t>
            </w:r>
          </w:p>
        </w:tc>
        <w:tc>
          <w:tcPr>
            <w:tcW w:type="dxa" w:w="32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Strong engineering/ER&amp;D + AIForce platform</w:t>
            </w:r>
          </w:p>
        </w:tc>
      </w:tr>
    </w:tbl>
    <w:p>
      <w:pPr>
        <w:spacing w:after="120" w:line="276"/>
        <w:jc w:val="both"/>
      </w:pPr>
      <w:r>
        <w:t xml:space="preserve">Strengths: cost-efficient global delivery, vast talent, sticky enterprise contracts. Weaknesses: linear (headcount-led) economics under pressure from AI, generalist positioning, minimal SME focus, and innovation perceived as following rather than leading. This is the gap an AI-native, productised challenger exploits.</w:t>
      </w:r>
    </w:p>
    <w:p>
      <w:pPr>
        <w:pStyle w:val="Heading3"/>
      </w:pPr>
      <w:r>
        <w:t xml:space="preserve">Deloitte / PwC / IBM Consulting / Capgemini / Cognizant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7310"/>
      </w:tblGrid>
      <w:tr>
        <w:trPr>
          <w:tblHeader/>
        </w:trPr>
        <w:tc>
          <w:tcPr>
            <w:tcW w:type="dxa" w:w="20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Firm</w:t>
            </w:r>
          </w:p>
        </w:tc>
        <w:tc>
          <w:tcPr>
            <w:tcW w:type="dxa" w:w="731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Profile &amp; competitive note</w:t>
            </w:r>
          </w:p>
        </w:tc>
      </w:tr>
      <w:tr>
        <w:trPr>
          <w:tblHeader w:val="false"/>
        </w:trPr>
        <w:tc>
          <w:tcPr>
            <w:tcW w:type="dxa" w:w="2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Deloitte</w:t>
            </w:r>
          </w:p>
        </w:tc>
        <w:tc>
          <w:tcPr>
            <w:tcW w:type="dxa" w:w="73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~$67 B revenue, ~460k people. Audit-anchored relationships + fast-growing AI/analytics practice. Premium, governance-led, enterprise.</w:t>
            </w:r>
          </w:p>
        </w:tc>
      </w:tr>
      <w:tr>
        <w:trPr>
          <w:tblHeader w:val="false"/>
        </w:trPr>
        <w:tc>
          <w:tcPr>
            <w:tcW w:type="dxa" w:w="20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PwC</w:t>
            </w:r>
          </w:p>
        </w:tc>
        <w:tc>
          <w:tcPr>
            <w:tcW w:type="dxa" w:w="73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~$55 B, ~370k. Big bet on GenAI advisory (multi-billion alliance with OpenAI/Microsoft). Strong in regulated industries.</w:t>
            </w:r>
          </w:p>
        </w:tc>
      </w:tr>
      <w:tr>
        <w:trPr>
          <w:tblHeader w:val="false"/>
        </w:trPr>
        <w:tc>
          <w:tcPr>
            <w:tcW w:type="dxa" w:w="2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IBM Consulting</w:t>
            </w:r>
          </w:p>
        </w:tc>
        <w:tc>
          <w:tcPr>
            <w:tcW w:type="dxa" w:w="73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~$20 B segment. watsonx platform + consulting; hybrid-cloud + AI; strong in regulated, on-prem buyers.</w:t>
            </w:r>
          </w:p>
        </w:tc>
      </w:tr>
      <w:tr>
        <w:trPr>
          <w:tblHeader w:val="false"/>
        </w:trPr>
        <w:tc>
          <w:tcPr>
            <w:tcW w:type="dxa" w:w="20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Capgemini</w:t>
            </w:r>
          </w:p>
        </w:tc>
        <w:tc>
          <w:tcPr>
            <w:tcW w:type="dxa" w:w="73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~€22 B, ~340k. Strong Europe presence, engineering + 'Resonance' GenAI portfolio.</w:t>
            </w:r>
          </w:p>
        </w:tc>
      </w:tr>
      <w:tr>
        <w:trPr>
          <w:tblHeader w:val="false"/>
        </w:trPr>
        <w:tc>
          <w:tcPr>
            <w:tcW w:type="dxa" w:w="2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Cognizant</w:t>
            </w:r>
          </w:p>
        </w:tc>
        <w:tc>
          <w:tcPr>
            <w:tcW w:type="dxa" w:w="73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~$19.7 B, ~340k. Healthcare/BFSI heavy; Neuro AI platform; aggressive AI re-skilling.</w:t>
            </w:r>
          </w:p>
        </w:tc>
      </w:tr>
    </w:tbl>
    <w:p>
      <w:pPr>
        <w:pStyle w:val="Heading2"/>
      </w:pPr>
      <w:r>
        <w:t xml:space="preserve">2.3 Tier 2 — Specialists &amp; Mid-Caps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1450"/>
        <w:gridCol w:w="6060"/>
      </w:tblGrid>
      <w:tr>
        <w:trPr>
          <w:tblHeader/>
        </w:trPr>
        <w:tc>
          <w:tcPr>
            <w:tcW w:type="dxa" w:w="18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Company</w:t>
            </w:r>
          </w:p>
        </w:tc>
        <w:tc>
          <w:tcPr>
            <w:tcW w:type="dxa" w:w="14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Scale</w:t>
            </w:r>
          </w:p>
        </w:tc>
        <w:tc>
          <w:tcPr>
            <w:tcW w:type="dxa" w:w="60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Why they matter / weakness</w:t>
            </w:r>
          </w:p>
        </w:tc>
      </w:tr>
      <w:tr>
        <w:trPr>
          <w:tblHeader w:val="false"/>
        </w:trPr>
        <w:tc>
          <w:tcPr>
            <w:tcW w:type="dxa" w:w="18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Fractal Analytics</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~$330 M ARR; ~6,700 staff; ~$2.4 B val.; IPO-bound [17]</w:t>
            </w:r>
          </w:p>
        </w:tc>
        <w:tc>
          <w:tcPr>
            <w:tcW w:type="dxa" w:w="6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India's premier enterprise-AI pure-play; CPG/BFSI. Weakness: thin SME/domestic demand engine [17].</w:t>
            </w:r>
          </w:p>
        </w:tc>
      </w:tr>
      <w:tr>
        <w:trPr>
          <w:tblHeader w:val="false"/>
        </w:trPr>
        <w:tc>
          <w:tcPr>
            <w:tcW w:type="dxa" w:w="18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Tiger Analytics</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~$300 M+ (est.), ~5,000</w:t>
            </w:r>
          </w:p>
        </w:tc>
        <w:tc>
          <w:tcPr>
            <w:tcW w:type="dxa" w:w="6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Data + AI consulting, US-centric. Weakness: brand depth vs Fractal.</w:t>
            </w:r>
          </w:p>
        </w:tc>
      </w:tr>
      <w:tr>
        <w:trPr>
          <w:tblHeader w:val="false"/>
        </w:trPr>
        <w:tc>
          <w:tcPr>
            <w:tcW w:type="dxa" w:w="18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Quantiphi</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~$200 M+ (est.), ~4,000</w:t>
            </w:r>
          </w:p>
        </w:tc>
        <w:tc>
          <w:tcPr>
            <w:tcW w:type="dxa" w:w="6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Applied AI + cloud (Google/AWS partner). Weakness: dependence on hyperscaler alliances.</w:t>
            </w:r>
          </w:p>
        </w:tc>
      </w:tr>
      <w:tr>
        <w:trPr>
          <w:tblHeader w:val="false"/>
        </w:trPr>
        <w:tc>
          <w:tcPr>
            <w:tcW w:type="dxa" w:w="18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LTIMindtree</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~$4.3 B, ~84,000</w:t>
            </w:r>
          </w:p>
        </w:tc>
        <w:tc>
          <w:tcPr>
            <w:tcW w:type="dxa" w:w="6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Full-service mid-major; BlueVerse GenAI. Weakness: integration + mid-tier positioning.</w:t>
            </w:r>
          </w:p>
        </w:tc>
      </w:tr>
      <w:tr>
        <w:trPr>
          <w:tblHeader w:val="false"/>
        </w:trPr>
        <w:tc>
          <w:tcPr>
            <w:tcW w:type="dxa" w:w="18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Persistent Systems</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~$1.4 B, ~23,000</w:t>
            </w:r>
          </w:p>
        </w:tc>
        <w:tc>
          <w:tcPr>
            <w:tcW w:type="dxa" w:w="6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Digital engineering + AI; strong growth. Weakness: scale vs majors.</w:t>
            </w:r>
          </w:p>
        </w:tc>
      </w:tr>
      <w:tr>
        <w:trPr>
          <w:tblHeader w:val="false"/>
        </w:trPr>
        <w:tc>
          <w:tcPr>
            <w:tcW w:type="dxa" w:w="18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Thoughtworks</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~$1.1 B, ~10,500</w:t>
            </w:r>
          </w:p>
        </w:tc>
        <w:tc>
          <w:tcPr>
            <w:tcW w:type="dxa" w:w="6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Premium engineering + AI; agile pedigree. Weakness: high cost, recent margin pressure.</w:t>
            </w:r>
          </w:p>
        </w:tc>
      </w:tr>
      <w:tr>
        <w:trPr>
          <w:tblHeader w:val="false"/>
        </w:trPr>
        <w:tc>
          <w:tcPr>
            <w:tcW w:type="dxa" w:w="18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Nagarro</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 B, ~18,000</w:t>
            </w:r>
          </w:p>
        </w:tc>
        <w:tc>
          <w:tcPr>
            <w:tcW w:type="dxa" w:w="6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Agile digital engineering, 'fluidic enterprise'. Weakness: lighter brand recognition.</w:t>
            </w:r>
          </w:p>
        </w:tc>
      </w:tr>
      <w:tr>
        <w:trPr>
          <w:tblHeader w:val="false"/>
        </w:trPr>
        <w:tc>
          <w:tcPr>
            <w:tcW w:type="dxa" w:w="18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Tech Mahindra</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~$6.3 B, ~145,000</w:t>
            </w:r>
          </w:p>
        </w:tc>
        <w:tc>
          <w:tcPr>
            <w:tcW w:type="dxa" w:w="6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Telco/5G + AI (Project Indus LLM). Weakness: margin and turnaround mode.</w:t>
            </w:r>
          </w:p>
        </w:tc>
      </w:tr>
      <w:tr>
        <w:trPr>
          <w:tblHeader w:val="false"/>
        </w:trPr>
        <w:tc>
          <w:tcPr>
            <w:tcW w:type="dxa" w:w="18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Birlasoft / Zensar / Coforge</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~$0.6–1.4 B each</w:t>
            </w:r>
          </w:p>
        </w:tc>
        <w:tc>
          <w:tcPr>
            <w:tcW w:type="dxa" w:w="6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Mid-cap SIs digitising verticals; vulnerable to AI margin compression.</w:t>
            </w:r>
          </w:p>
        </w:tc>
      </w:tr>
    </w:tbl>
    <w:p>
      <w:pPr>
        <w:pStyle w:val="Heading2"/>
      </w:pPr>
      <w:r>
        <w:t xml:space="preserve">2.4 Tier 3 — AI-First Platforms &amp; Challengers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5960"/>
      </w:tblGrid>
      <w:tr>
        <w:trPr>
          <w:tblHeader/>
        </w:trPr>
        <w:tc>
          <w:tcPr>
            <w:tcW w:type="dxa" w:w="19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Company</w:t>
            </w:r>
          </w:p>
        </w:tc>
        <w:tc>
          <w:tcPr>
            <w:tcW w:type="dxa" w:w="1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Scale</w:t>
            </w:r>
          </w:p>
        </w:tc>
        <w:tc>
          <w:tcPr>
            <w:tcW w:type="dxa" w:w="59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Model &amp; note</w:t>
            </w:r>
          </w:p>
        </w:tc>
      </w:tr>
      <w:tr>
        <w:trPr>
          <w:tblHeader w:val="false"/>
        </w:trPr>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Palantir</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~$3.4–4.5 B rev (2025), profitable [18]</w:t>
            </w:r>
          </w:p>
        </w:tc>
        <w:tc>
          <w:tcPr>
            <w:tcW w:type="dxa" w:w="59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AIP + Foundry ontology/agents; gov + commercial. Product-led, premium; needs SI delivery partners.</w:t>
            </w:r>
          </w:p>
        </w:tc>
      </w:tr>
      <w:tr>
        <w:trPr>
          <w:tblHeader w:val="false"/>
        </w:trPr>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UiPath</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~$1.43 B rev; $1.67 B ARR [18]</w:t>
            </w:r>
          </w:p>
        </w:tc>
        <w:tc>
          <w:tcPr>
            <w:tcW w:type="dxa" w:w="59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RPA leader pivoting to agentic automation. Partner ecosystem = channel opportunity.</w:t>
            </w:r>
          </w:p>
        </w:tc>
      </w:tr>
      <w:tr>
        <w:trPr>
          <w:tblHeader w:val="false"/>
        </w:trPr>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Automation Anywhere</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~$0.6 B (est., private)</w:t>
            </w:r>
          </w:p>
        </w:tc>
        <w:tc>
          <w:tcPr>
            <w:tcW w:type="dxa" w:w="59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Cloud-native RPA + GenAI (Automation Co-Pilot). Channel-led.</w:t>
            </w:r>
          </w:p>
        </w:tc>
      </w:tr>
      <w:tr>
        <w:trPr>
          <w:tblHeader w:val="false"/>
        </w:trPr>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ServiceNow</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~$11 B rev</w:t>
            </w:r>
          </w:p>
        </w:tc>
        <w:tc>
          <w:tcPr>
            <w:tcW w:type="dxa" w:w="59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Workflow platform + Now Assist GenAI; ITSM/ops dominance; huge partner economy.</w:t>
            </w:r>
          </w:p>
        </w:tc>
      </w:tr>
      <w:tr>
        <w:trPr>
          <w:tblHeader w:val="false"/>
        </w:trPr>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DataRobot</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~$0.3 B (est., private)</w:t>
            </w:r>
          </w:p>
        </w:tc>
        <w:tc>
          <w:tcPr>
            <w:tcW w:type="dxa" w:w="59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Enterprise AI/ML lifecycle platform; pivoting to agentic/GenAI apps.</w:t>
            </w:r>
          </w:p>
        </w:tc>
      </w:tr>
      <w:tr>
        <w:trPr>
          <w:tblHeader w:val="false"/>
        </w:trPr>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GenAI-native startups</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Seed–Series C</w:t>
            </w:r>
          </w:p>
        </w:tc>
        <w:tc>
          <w:tcPr>
            <w:tcW w:type="dxa" w:w="59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Glean, Cohere, Sierra, Cresta, Writer + 1,000s; redefining UX and price points; potential partners or niche rivals.</w:t>
            </w:r>
          </w:p>
        </w:tc>
      </w:tr>
    </w:tbl>
    <w:p>
      <w:pPr>
        <w:pStyle w:val="Heading2"/>
      </w:pPr>
      <w:r>
        <w:t xml:space="preserve">2.5 What This Means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Competitive takeaways</w:t>
            </w:r>
          </w:p>
          <w:p>
            <w:pPr>
              <w:spacing w:after="40"/>
            </w:pPr>
            <w:r>
              <w:rPr>
                <w:sz w:val="18"/>
                <w:szCs w:val="18"/>
              </w:rPr>
              <w:t xml:space="preserve">Incumbents own the enterprise top-down; nobody owns the SME/mid-market bottom-up at scale.</w:t>
            </w:r>
          </w:p>
          <w:p>
            <w:pPr>
              <w:spacing w:after="40"/>
            </w:pPr>
            <w:r>
              <w:rPr>
                <w:sz w:val="18"/>
                <w:szCs w:val="18"/>
              </w:rPr>
              <w:t xml:space="preserve">Their economics are headcount-led — an AI-native delivery model can undercut on price and beat on speed.</w:t>
            </w:r>
          </w:p>
          <w:p>
            <w:pPr>
              <w:spacing w:after="40"/>
            </w:pPr>
            <w:r>
              <w:rPr>
                <w:sz w:val="18"/>
                <w:szCs w:val="18"/>
              </w:rPr>
              <w:t xml:space="preserve">Platforms (UiPath, ServiceNow, Palantir, hyperscalers) need last-mile delivery partners — your fastest credibility and lead path.</w:t>
            </w:r>
          </w:p>
          <w:p>
            <w:pPr>
              <w:spacing w:after="40"/>
            </w:pPr>
            <w:r>
              <w:rPr>
                <w:sz w:val="18"/>
                <w:szCs w:val="18"/>
              </w:rPr>
              <w:t xml:space="preserve">Differentiate on vertical depth + outcomes + productised pricing, never on 'we also do AI'.</w:t>
            </w:r>
          </w:p>
        </w:tc>
      </w:tr>
    </w:tbl>
    <w:p>
      <w:pPr>
        <w:spacing w:after="160"/>
      </w:pPr>
      <w:r>
        <w:rPr>
          <w:i/>
          <w:iCs/>
          <w:color w:val="595959"/>
          <w:sz w:val="16"/>
          <w:szCs w:val="16"/>
        </w:rPr>
        <w:t xml:space="preserve">Source: Accenture/Wipro/UiPath/Palantir SEC &amp; investor filings (FY2024–25); Crunchbase, GetLatka, Growjo, Inc42, Tradebrains, Forrester (2025); company disclosures. Estimates flagged. Full citations in References.</w:t>
      </w:r>
    </w:p>
    <w:p>
      <w:pPr>
        <w:pStyle w:val="Heading1"/>
        <w:pageBreakBefore/>
      </w:pPr>
      <w:r>
        <w:t xml:space="preserve">3. Indian Competitor Analysis</w:t>
      </w:r>
    </w:p>
    <w:p>
      <w:pPr>
        <w:spacing w:after="140" w:line="276"/>
      </w:pPr>
      <w:r>
        <w:rPr>
          <w:i/>
          <w:iCs/>
          <w:color w:val="595959"/>
        </w:rPr>
        <w:t xml:space="preserve">India has world-class AI delivery talent but a thin domestic-demand engine. Most strong players chase US/EU enterprise revenue — leaving the Indian SME, regional and vernacular markets wide open.</w:t>
      </w:r>
    </w:p>
    <w:p>
      <w:pPr>
        <w:spacing w:after="120" w:line="276"/>
        <w:jc w:val="both"/>
      </w:pPr>
      <w:r>
        <w:t xml:space="preserve">Per your guidance, we profile the most relevant players in depth and provide a ~100-name reference directory below. Treat private-company financials as best-available estimates [refs 17,19–22].</w:t>
      </w:r>
    </w:p>
    <w:p>
      <w:pPr>
        <w:pStyle w:val="Heading2"/>
      </w:pPr>
      <w:r>
        <w:t xml:space="preserve">3.1 Deep Profiles — Indian Leaders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Fractal Analytics</w:t>
            </w:r>
          </w:p>
        </w:tc>
        <w:tc>
          <w:tcPr>
            <w:tcW w:type="dxa" w:w="71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Mumbai · 2000 · founders Srikanth Velamakanni &amp; Pranay Agrawal · ~6,700 staff · ~$330 M ARR, ~$2.4 B valuation, IPO-bound. USP: enterprise-grade AI + behavioural science for global CPG/BFSI. Tech: cloud, ML, GenAI. Weakness: minimal Indian/SME demand — ~near-entirely export-led [17].</w:t>
            </w:r>
          </w:p>
        </w:tc>
      </w:tr>
      <w:tr>
        <w:trPr>
          <w:tblHeader w:val="false"/>
        </w:trPr>
        <w:tc>
          <w:tcPr>
            <w:tcW w:type="dxa" w:w="22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Yellow.ai</w:t>
            </w:r>
          </w:p>
        </w:tc>
        <w:tc>
          <w:tcPr>
            <w:tcW w:type="dxa" w:w="71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Bengaluru · 2016 · founders Raghu Ravinutala et al. · ~1,000 staff · conversational + voice AI across 135+ languages. USP: enterprise CX automation; strong in Asia/ME. Weakness: crowded conversational-AI market, margin pressure.</w:t>
            </w:r>
          </w:p>
        </w:tc>
      </w:tr>
      <w:tr>
        <w:trPr>
          <w:tblHeader w:val="false"/>
        </w:trPr>
        <w:tc>
          <w:tcPr>
            <w:tcW w:type="dxa" w:w="22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Qure.ai</w:t>
            </w:r>
          </w:p>
        </w:tc>
        <w:tc>
          <w:tcPr>
            <w:tcW w:type="dxa" w:w="71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Mumbai · 2016 · radiology AI (chest X-ray, CT, stroke) · FDA/CE cleared, deployed in 90+ countries. USP: regulatory-cleared clinical AI. A model for vertical, outcome-led AI.</w:t>
            </w:r>
          </w:p>
        </w:tc>
      </w:tr>
      <w:tr>
        <w:trPr>
          <w:tblHeader w:val="false"/>
        </w:trPr>
        <w:tc>
          <w:tcPr>
            <w:tcW w:type="dxa" w:w="22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Zoho / Freshworks</w:t>
            </w:r>
          </w:p>
        </w:tc>
        <w:tc>
          <w:tcPr>
            <w:tcW w:type="dxa" w:w="71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Chennai · global SaaS leaders with embedded AI (Zia, Freddy). USP: full SMB software suites at low cost. They prove the Indian SMB-SaaS playbook — but leave services/customisation to partners.</w:t>
            </w:r>
          </w:p>
        </w:tc>
      </w:tr>
      <w:tr>
        <w:trPr>
          <w:tblHeader w:val="false"/>
        </w:trPr>
        <w:tc>
          <w:tcPr>
            <w:tcW w:type="dxa" w:w="22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Tredence / Tiger / Quantiphi / MathCo</w:t>
            </w:r>
          </w:p>
        </w:tc>
        <w:tc>
          <w:tcPr>
            <w:tcW w:type="dxa" w:w="71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Bengaluru/Chennai · data-science &amp; applied-AI consultancies, $150–350 M scale, US-centric. USP: deep analytics talent. Weakness: enterprise-only; little SME productisation.</w:t>
            </w:r>
          </w:p>
        </w:tc>
      </w:tr>
    </w:tbl>
    <w:p>
      <w:pPr>
        <w:pStyle w:val="Heading2"/>
      </w:pPr>
      <w:r>
        <w:t xml:space="preserve">3.2 Ahmedabad &amp; Gujarat — Your Home-Turf Cluster</w:t>
      </w:r>
    </w:p>
    <w:p>
      <w:pPr>
        <w:spacing w:after="120" w:line="276"/>
        <w:jc w:val="both"/>
      </w:pPr>
      <w:r>
        <w:t xml:space="preserve">Gujarat (Ahmedabad, Gandhinagar GIFT City, Vadodara, Surat, Rajkot) hosts a dense services-IT cluster — Azilen, TatvaSoft, Bacancy, Simform, Openxcell, Silver Touch, Softweb, Radixweb, Yudiz, Hyperlink InfoSystem, Rapidops, SculptSoft. Most are export-oriented custom-software / app shops now bolting on 'AI/ML' as a service line. Few have a sharp, productised, outcome-led AI proposition aimed at Gujarat's own manufacturing, textile, pharma, chemicals, agro/food and export economy. That local-market + vernacular gap is a concrete opening for a focused new division.</w:t>
      </w:r>
    </w:p>
    <w:p>
      <w:pPr>
        <w:pStyle w:val="Heading2"/>
      </w:pPr>
      <w:r>
        <w:t xml:space="preserve">3.3 Fast-Growing AI Startups (India)</w:t>
      </w:r>
    </w:p>
    <w:p>
      <w:pPr>
        <w:pStyle w:val="ListParagraph"/>
        <w:numPr>
          <w:ilvl w:val="0"/>
          <w:numId w:val="2"/>
        </w:numPr>
        <w:spacing w:after="40" w:line="264"/>
      </w:pPr>
      <w:r>
        <w:t xml:space="preserve">Conversational/Voice: Yellow.ai, Gupshup, Skit.ai, Observe.AI, Uniphore — maturing fast; CX automation mainstream.</w:t>
      </w:r>
    </w:p>
    <w:p>
      <w:pPr>
        <w:pStyle w:val="ListParagraph"/>
        <w:numPr>
          <w:ilvl w:val="0"/>
          <w:numId w:val="2"/>
        </w:numPr>
        <w:spacing w:after="40" w:line="264"/>
      </w:pPr>
      <w:r>
        <w:t xml:space="preserve">Vertical AI: Qure.ai (radiology), Niramai/SigTuple (health), Signzy/HyperVerge/IDfy (BFSI onboarding), GreyOrange/Ati Motors (warehouse/industrial robotics).</w:t>
      </w:r>
    </w:p>
    <w:p>
      <w:pPr>
        <w:pStyle w:val="ListParagraph"/>
        <w:numPr>
          <w:ilvl w:val="0"/>
          <w:numId w:val="2"/>
        </w:numPr>
        <w:spacing w:after="40" w:line="264"/>
      </w:pPr>
      <w:r>
        <w:t xml:space="preserve">Agentic GenAI (2024–26 wave): Lyzr, Leena AI, Toplyne, Pixis, Rephrase.ai — building reusable agent/automation IP.</w:t>
      </w:r>
    </w:p>
    <w:p>
      <w:pPr>
        <w:pStyle w:val="ListParagraph"/>
        <w:numPr>
          <w:ilvl w:val="0"/>
          <w:numId w:val="2"/>
        </w:numPr>
        <w:spacing w:after="40" w:line="264"/>
      </w:pPr>
      <w:r>
        <w:t xml:space="preserve">SMB enablement: AiSensy, Wati, Interakt, Bizom — productised WhatsApp/retail automation; proof that SME automation sells at volume.</w:t>
      </w:r>
    </w:p>
    <w:p>
      <w:pPr>
        <w:pStyle w:val="Heading2"/>
      </w:pPr>
      <w:r>
        <w:t xml:space="preserve">3.4 Under-Served Markets &amp; Service Gaps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Gaps competitors are NOT solving</w:t>
            </w:r>
          </w:p>
          <w:p>
            <w:pPr>
              <w:spacing w:after="40"/>
            </w:pPr>
            <w:r>
              <w:rPr>
                <w:sz w:val="18"/>
                <w:szCs w:val="18"/>
              </w:rPr>
              <w:t xml:space="preserve">SME/MSME automation at affordable, productised price points (63 M MSMEs, low AI adoption) [14].</w:t>
            </w:r>
          </w:p>
          <w:p>
            <w:pPr>
              <w:spacing w:after="40"/>
            </w:pPr>
            <w:r>
              <w:rPr>
                <w:sz w:val="18"/>
                <w:szCs w:val="18"/>
              </w:rPr>
              <w:t xml:space="preserve">Vernacular / regional-language AI for tier-2/3 businesses and their customers.</w:t>
            </w:r>
          </w:p>
          <w:p>
            <w:pPr>
              <w:spacing w:after="40"/>
            </w:pPr>
            <w:r>
              <w:rPr>
                <w:sz w:val="18"/>
                <w:szCs w:val="18"/>
              </w:rPr>
              <w:t xml:space="preserve">Industry-specific 'done-for-you' solutions for textile, pharma, chemicals, agro/food, gems &amp; jewellery, exports — Gujarat's core.</w:t>
            </w:r>
          </w:p>
          <w:p>
            <w:pPr>
              <w:spacing w:after="40"/>
            </w:pPr>
            <w:r>
              <w:rPr>
                <w:sz w:val="18"/>
                <w:szCs w:val="18"/>
              </w:rPr>
              <w:t xml:space="preserve">Export documentation, compliance and trade automation (huge in Gujarat/Surat/Mumbai).</w:t>
            </w:r>
          </w:p>
          <w:p>
            <w:pPr>
              <w:spacing w:after="40"/>
            </w:pPr>
            <w:r>
              <w:rPr>
                <w:sz w:val="18"/>
                <w:szCs w:val="18"/>
              </w:rPr>
              <w:t xml:space="preserve">End-to-end 'AI ops' for clinics, schools, dealerships, real-estate and D2C brands — too small for the majors.</w:t>
            </w:r>
          </w:p>
          <w:p>
            <w:pPr>
              <w:spacing w:after="40"/>
            </w:pPr>
            <w:r>
              <w:rPr>
                <w:sz w:val="18"/>
                <w:szCs w:val="18"/>
              </w:rPr>
              <w:t xml:space="preserve">AI governance, data-readiness and pilot-rescue for mid-market firms with stalled projects.</w:t>
            </w:r>
          </w:p>
        </w:tc>
      </w:tr>
    </w:tbl>
    <w:p>
      <w:pPr>
        <w:pStyle w:val="Heading2"/>
      </w:pPr>
      <w:r>
        <w:t xml:space="preserve">3.5 Regional Opportunity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2500"/>
        <w:gridCol w:w="5110"/>
      </w:tblGrid>
      <w:tr>
        <w:trPr>
          <w:tblHeader/>
        </w:trPr>
        <w:tc>
          <w:tcPr>
            <w:tcW w:type="dxa" w:w="17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City / Region</w:t>
            </w:r>
          </w:p>
        </w:tc>
        <w:tc>
          <w:tcPr>
            <w:tcW w:type="dxa" w:w="2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Economic base</w:t>
            </w:r>
          </w:p>
        </w:tc>
        <w:tc>
          <w:tcPr>
            <w:tcW w:type="dxa" w:w="511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7"/>
                <w:szCs w:val="17"/>
              </w:rPr>
              <w:t xml:space="preserve">Best opening for you</w:t>
            </w:r>
          </w:p>
        </w:tc>
      </w:tr>
      <w:tr>
        <w:trPr>
          <w:tblHeader w:val="false"/>
        </w:trPr>
        <w:tc>
          <w:tcPr>
            <w:tcW w:type="dxa" w:w="17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Ahmedabad / Gujarat</w:t>
            </w:r>
          </w:p>
        </w:tc>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Manufacturing, textile, pharma, chemicals, agro/food, exports, GIFT-City fintech</w:t>
            </w:r>
          </w:p>
        </w:tc>
        <w:tc>
          <w:tcPr>
            <w:tcW w:type="dxa" w:w="51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Local + vernacular productised AI/automation; export &amp; compliance automation; lowest competition vs depth of demand</w:t>
            </w:r>
          </w:p>
        </w:tc>
      </w:tr>
      <w:tr>
        <w:trPr>
          <w:tblHeader w:val="false"/>
        </w:trPr>
        <w:tc>
          <w:tcPr>
            <w:tcW w:type="dxa" w:w="17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Mumbai</w:t>
            </w:r>
          </w:p>
        </w:tc>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BFSI, media, pharma HQs, D2C</w:t>
            </w:r>
          </w:p>
        </w:tc>
        <w:tc>
          <w:tcPr>
            <w:tcW w:type="dxa" w:w="51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BFSI process automation, marketing AI, analytics — high deal value, high competition</w:t>
            </w:r>
          </w:p>
        </w:tc>
      </w:tr>
      <w:tr>
        <w:trPr>
          <w:tblHeader w:val="false"/>
        </w:trPr>
        <w:tc>
          <w:tcPr>
            <w:tcW w:type="dxa" w:w="17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Bengaluru</w:t>
            </w:r>
          </w:p>
        </w:tc>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Tech, startups, GCCs</w:t>
            </w:r>
          </w:p>
        </w:tc>
        <w:tc>
          <w:tcPr>
            <w:tcW w:type="dxa" w:w="51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AI engineering talent + partnerships; saturated for selling, strong for hiring</w:t>
            </w:r>
          </w:p>
        </w:tc>
      </w:tr>
      <w:tr>
        <w:trPr>
          <w:tblHeader w:val="false"/>
        </w:trPr>
        <w:tc>
          <w:tcPr>
            <w:tcW w:type="dxa" w:w="17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Hyderabad</w:t>
            </w:r>
          </w:p>
        </w:tc>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Pharma, GCCs, govt-tech</w:t>
            </w:r>
          </w:p>
        </w:tc>
        <w:tc>
          <w:tcPr>
            <w:tcW w:type="dxa" w:w="51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Life-sciences &amp; data AI; pro-business policy</w:t>
            </w:r>
          </w:p>
        </w:tc>
      </w:tr>
      <w:tr>
        <w:trPr>
          <w:tblHeader w:val="false"/>
        </w:trPr>
        <w:tc>
          <w:tcPr>
            <w:tcW w:type="dxa" w:w="17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Pune</w:t>
            </w:r>
          </w:p>
        </w:tc>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Auto, manufacturing, IT</w:t>
            </w:r>
          </w:p>
        </w:tc>
        <w:tc>
          <w:tcPr>
            <w:tcW w:type="dxa" w:w="51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7"/>
                <w:szCs w:val="17"/>
              </w:rPr>
              <w:t xml:space="preserve">Industry-4.0 / manufacturing AI, computer vision QC</w:t>
            </w:r>
          </w:p>
        </w:tc>
      </w:tr>
      <w:tr>
        <w:trPr>
          <w:tblHeader w:val="false"/>
        </w:trPr>
        <w:tc>
          <w:tcPr>
            <w:tcW w:type="dxa" w:w="17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Delhi NCR (Gurugram/Noida)</w:t>
            </w:r>
          </w:p>
        </w:tc>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Corporates, e-commerce, logistics, govt</w:t>
            </w:r>
          </w:p>
        </w:tc>
        <w:tc>
          <w:tcPr>
            <w:tcW w:type="dxa" w:w="51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7"/>
                <w:szCs w:val="17"/>
              </w:rPr>
              <w:t xml:space="preserve">Logistics/HR/CX automation; large enterprise + govt access</w:t>
            </w:r>
          </w:p>
        </w:tc>
      </w:tr>
    </w:tbl>
    <w:p>
      <w:pPr>
        <w:pStyle w:val="Heading2"/>
      </w:pPr>
      <w:r>
        <w:t xml:space="preserve">3.6 Indian Competitor Reference Directory (~100)</w:t>
      </w:r>
    </w:p>
    <w:p>
      <w:pPr>
        <w:spacing w:after="120" w:line="276"/>
        <w:jc w:val="both"/>
      </w:pPr>
      <w:r>
        <w:t xml:space="preserve">A scan map of Indian firms touching AI/automation/IT-transformation — for partnership, talent and positioning intelligence. Inclusion is not an endorsement; financials omitted where unreliable.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40"/>
        <w:gridCol w:w="1900"/>
        <w:gridCol w:w="2400"/>
        <w:gridCol w:w="1900"/>
      </w:tblGrid>
      <w:tr>
        <w:trPr>
          <w:tblHeader/>
        </w:trPr>
        <w:tc>
          <w:tcPr>
            <w:tcW w:type="dxa" w:w="52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w:t>
            </w:r>
          </w:p>
        </w:tc>
        <w:tc>
          <w:tcPr>
            <w:tcW w:type="dxa" w:w="264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Company</w:t>
            </w:r>
          </w:p>
        </w:tc>
        <w:tc>
          <w:tcPr>
            <w:tcW w:type="dxa" w:w="19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City</w:t>
            </w:r>
          </w:p>
        </w:tc>
        <w:tc>
          <w:tcPr>
            <w:tcW w:type="dxa" w:w="24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Focus</w:t>
            </w:r>
          </w:p>
        </w:tc>
        <w:tc>
          <w:tcPr>
            <w:tcW w:type="dxa" w:w="19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Website</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Fractal Analytics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Enterprise AI/analytics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fractal.ai</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Tiger Analytics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Chennai/CA</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Data &amp; AI consulting</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tigeranalytics.com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Quantiphi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Applied AI + cloud</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quantiphi.com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4</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 Sigma</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Decision sciences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mu-sigma.com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LatentView Analytics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Chennai</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Data analytics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latentview.com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6</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Course5 Intelligence</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Analytics + GenAI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course5i.com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7</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Absolutdata (Infogain)</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Gurugram</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AI/analytics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absolutdata.com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8</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Gramener</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Hyderabad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Data storytelling/AI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gramener.com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9</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Sigmoid</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Data engineering +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sigmoid.com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10</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Crayon Data</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Chennai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AI personalisation</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crayondata.com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Yellow.ai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Conversational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yellow.ai</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12</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Haptik (Jio)</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Conversational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haptik.ai</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13</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Uniphore</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Chennai/US</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Voice/conversational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uniphore.com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14</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Observe.AI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Contact-centre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observe.ai</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15</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Senseforth.ai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Conversational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senseforth.ai</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16</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Vernacular.ai (Skit)</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Voice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skit.ai</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17</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Gupshup</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Conversational messaging</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gupshup.io</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18</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Verloop.io</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Support automation</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verloop.io</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19</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Mad Street Den</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Chennai</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Computer vision/retail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madstreetden.com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20</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SigTuple</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Medical imaging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sigtuple.com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Niramai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Healthcare AI (thermal)</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niramai.com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22</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Qure.ai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Radiology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qure.ai</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23</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Innovaccer</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Noida/US</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Healthcare data/AI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innovaccer.com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24</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SquadStack</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Noida</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AI sales/ops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squadstack.com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25</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Locobuzz</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CX + social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locobuzz.com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26</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Manthan/Algonomy</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Retail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algonomy.com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27</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Vue.ai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Chennai</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Retail automation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vue.ai</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28</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Wobot.ai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Gurugram</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Vision intelligence</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wobot.ai</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29</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Staqu</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Gurugram</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Video analytics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staqu.com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30</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AjnaLens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AR + AI training</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ajnalens.com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Streamingo / Detect</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Vision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detect.ai</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32</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Cogno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BFSI conversational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cogno.ai</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33</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Kenscio / Netcore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Marketing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netcorecloud.com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34</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Zoko / AiSensy</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Bengaluru/Gurugram</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WhatsApp automation</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aisensy.com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35</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Interakt (Jio)</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WhatsApp commerce</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interakt.shop</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36</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Wati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WhatsApp automation</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wati.io</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37</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Leena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Gurugram</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HR/agentic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leena.ai</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38</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Darwinbox</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Hyderabad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HR SaaS +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darwinbox.com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39</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Keka</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Hyderabad</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HR automation</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keka.com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40</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Zoho</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Chennai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SaaS suite + Zia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zoho.com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41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Freshworks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Chennai</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CX/ITSM SaaS + Freddy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freshworks.com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42</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Kissflow</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Chennai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Low-code workflow</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kissflow.com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43</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Whatfix</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Digital adoption +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whatfix.com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44</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Locus.sh</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Logistics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locus.sh</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45</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Shipsy</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Gurugram</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Supply-chain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shipsy.io</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46</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FarEye</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Noida</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Delivery logistics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fareye.com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47</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Bizom (Mobisy)</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Retail/SFA automation</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bizom.com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48</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Vymo</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Sales engagement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vymo.com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49</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Rephrase.ai (Adobe)</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Generative video</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rephrase.ai</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50</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Vizzhy / Setu</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Fintech AI/APIs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setu.co</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Signzy</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BFSI onboarding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signzy.com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52</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HyperVerge</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KYC/vision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hyperverge.co</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53</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IDfy</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Identity + fraud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idfy.com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54</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Perfios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Financial data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perfios.com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55</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Eela / Recko (Stripe)</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Reconciliation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stripe.com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56</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EnglishHelper</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Education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englishhelper.com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57</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Embibe (Jio)</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EdTech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embibe.com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58</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Toplyne</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Go-to-market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toplyne.io</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59</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Avoma</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Pune</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Meeting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avoma.com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60</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Rocketium</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Creative automation</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rocketium.com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61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Pixis (Pyxis One)</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AI marketing infra</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pixis.ai</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62</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GreyOrange</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Gurugram</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Warehouse robotics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greyorange.com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63</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Ati Motors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Industrial autonomy</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ati.motors</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64</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Detect Technologies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Chennai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Industrial vision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detecttechnologies.com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65</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Flutura (Accenture)</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Industrial IoT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accenture.com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66</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Uncountable / Aganitha</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Hyderabad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R&amp;D / life-sci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aganitha.ai</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67</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Innoplexus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Pune</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Life-sciences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innoplexus.com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68</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Tredence</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Data science consulting</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tredence.com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69</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Bristlecone (Mahindra)</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Supply-chain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bristlecone.com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70</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Brillio</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Digital + data/AI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brillio.com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71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Searce</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Pune</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Cloud + AI engineering</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searce.com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72</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CloudCover / NetApp</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Cloud +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cloudcover.tech</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73</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Ascendion</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Chennai/US</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AI-led engineering</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ascendion.com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74</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Iauro / Saama</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Pune</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AI engineering + life-sci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saama.com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75</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Affine</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AI/analytics consulting</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affine.ai</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76</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Polestar Solutions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Noida</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Data analytics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polestarllp.com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77</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MathCo</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Enterprise AI/analytics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themathcompany.com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78</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AceVector / Indium</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Chennai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Data + QA +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indiumsoftware.com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79</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Zinnov-backed boutiques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Multiple</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AI consulting boutiques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80</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Sirpi / SculptSoft</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AI/ML dev services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sculptsoft.com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81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Azilen Technologies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Product + AI engineering</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azilen.com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82</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TatvaSoft</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Custom software +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tatvasoft.com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83</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Bacancy Technology</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Dev + AI/ML</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bacancytechnology.com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84</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Yudiz Solutions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Apps +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yudiz.com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85</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Inexture / Hyperlink InfoSystem</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AI app dev</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hyperlinkinfosystem.com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86</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Simform</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Cloud + AI engineering</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simform.com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87</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Radixweb / Elsner</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Software +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radixweb.com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88</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Webmyne / Silver Touch</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Vadodara/Ahd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ERP + AI/RPA</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silvertouch.com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89</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Softweb Solutions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IoT +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softwebsolutions.com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90</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Bytes Technolab</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Web/AI dev</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bytestechnolab.com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91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Peerbits / Openxcell</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App + AI dev</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openxcell.com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92</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Tridhya Tech</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Digital +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tridhyatech.com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93</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Rapidops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Ahmedabad</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SaaS + AI products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rapidops.com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94</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e-Zest / Cybage</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Pune</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Product engineering +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cybage.com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95</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Mastek / Evolutionary Sys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Mumbai/UAE</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ERP + AI services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mastek.com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96</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Datamatics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Mumbai</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IPA + analytics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datamatics.com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97</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Newgen Software</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Noida</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Low-code + IDP/AI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newgensoft.com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98</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Intellicus / Kanerika</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Hyderabad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Data + AI services</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kanerika.com</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99</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Cinntra / Espire</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Noida</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Digital + 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espire.com</w:t>
            </w:r>
          </w:p>
        </w:tc>
      </w:tr>
      <w:tr>
        <w:trPr>
          <w:tblHeader w:val="false"/>
        </w:trPr>
        <w:tc>
          <w:tcPr>
            <w:tcW w:type="dxa" w:w="5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100</w:t>
            </w:r>
          </w:p>
        </w:tc>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Orbo.ai / Streamoid</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Mumbai/Bengaluru</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Vision + retail AI</w:t>
            </w:r>
          </w:p>
        </w:tc>
        <w:tc>
          <w:tcPr>
            <w:tcW w:type="dxa" w:w="19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orbo.ai</w:t>
            </w:r>
          </w:p>
        </w:tc>
      </w:tr>
      <w:tr>
        <w:trPr>
          <w:tblHeader w:val="false"/>
        </w:trPr>
        <w:tc>
          <w:tcPr>
            <w:tcW w:type="dxa" w:w="5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101</w:t>
            </w:r>
          </w:p>
        </w:tc>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Lyzr / Dashtoon (GenAI)</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Bengaluru</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Agentic GenAI startups</w:t>
            </w:r>
          </w:p>
        </w:tc>
        <w:tc>
          <w:tcPr>
            <w:tcW w:type="dxa" w:w="19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lyzr.ai</w:t>
            </w:r>
          </w:p>
        </w:tc>
      </w:tr>
    </w:tbl>
    <w:p>
      <w:pPr>
        <w:spacing w:after="160"/>
      </w:pPr>
      <w:r>
        <w:rPr>
          <w:i/>
          <w:iCs/>
          <w:color w:val="595959"/>
          <w:sz w:val="16"/>
          <w:szCs w:val="16"/>
        </w:rPr>
        <w:t xml:space="preserve">Source: Company websites, Crunchbase, Inc42, YourStory, Tracxn, NASSCOM (2024–2026). Private financials are estimates. Full citations in References.</w:t>
      </w:r>
    </w:p>
    <w:p>
      <w:pPr>
        <w:pStyle w:val="Heading1"/>
        <w:pageBreakBefore/>
      </w:pPr>
      <w:r>
        <w:t xml:space="preserve">4. Service Demand Analysis</w:t>
      </w:r>
    </w:p>
    <w:p>
      <w:pPr>
        <w:spacing w:after="140" w:line="276"/>
      </w:pPr>
      <w:r>
        <w:rPr>
          <w:i/>
          <w:iCs/>
          <w:color w:val="595959"/>
        </w:rPr>
        <w:t xml:space="preserve">Not all services are equal. The winners combine high demand, recurring revenue, fast sales cycles and AI-native delivery leverage. Below, 20 leading services are scored 1–10 across demand, profitability, ease of selling and recurring potential.</w:t>
      </w:r>
    </w:p>
    <w:p>
      <w:pPr>
        <w:pStyle w:val="Heading2"/>
      </w:pPr>
      <w:r>
        <w:t xml:space="preserve">4.1 What Businesses Want Most (2025–2030)</w:t>
      </w:r>
    </w:p>
    <w:p>
      <w:pPr>
        <w:spacing w:after="120" w:line="276"/>
        <w:jc w:val="both"/>
      </w:pPr>
      <w:r>
        <w:t xml:space="preserve">Demand has shifted decisively from 'build me software' to 'make my business run itself.' The hottest budget lines are customer-facing AI (chatbots/voice), revenue automation (lead-gen/sales/marketing), and back-office process automation — because each maps to a clear ROI (revenue up or cost down). Heavier engagements (custom SaaS, predictive ML, computer vision, digital-transformation programmes) carry larger ticket sizes but longer sales cycles and higher delivery risk.</w:t>
      </w:r>
    </w:p>
    <w:p>
      <w:pPr>
        <w:pStyle w:val="Heading2"/>
      </w:pPr>
      <w:r>
        <w:t xml:space="preserve">4.2 Service Ranking Matrix</w:t>
      </w:r>
    </w:p>
    <w:p>
      <w:pPr>
        <w:spacing w:after="120" w:line="276"/>
        <w:jc w:val="both"/>
      </w:pPr>
      <w:r>
        <w:t xml:space="preserve">Scores 1–10 (10 = best). 'Recur.' = recurring-revenue potential. Pricing reflects SME-to-mid-market projects; enterprise multiples are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640"/>
        <w:gridCol w:w="700"/>
        <w:gridCol w:w="680"/>
        <w:gridCol w:w="720"/>
        <w:gridCol w:w="1180"/>
        <w:gridCol w:w="2800"/>
      </w:tblGrid>
      <w:tr>
        <w:trPr>
          <w:tblHeader/>
        </w:trPr>
        <w:tc>
          <w:tcPr>
            <w:tcW w:type="dxa" w:w="264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Service</w:t>
            </w:r>
          </w:p>
        </w:tc>
        <w:tc>
          <w:tcPr>
            <w:tcW w:type="dxa" w:w="64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Dmd</w:t>
            </w:r>
          </w:p>
        </w:tc>
        <w:tc>
          <w:tcPr>
            <w:tcW w:type="dxa" w:w="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Profit</w:t>
            </w:r>
          </w:p>
        </w:tc>
        <w:tc>
          <w:tcPr>
            <w:tcW w:type="dxa" w:w="68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Ease</w:t>
            </w:r>
          </w:p>
        </w:tc>
        <w:tc>
          <w:tcPr>
            <w:tcW w:type="dxa" w:w="72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Recur.</w:t>
            </w:r>
          </w:p>
        </w:tc>
        <w:tc>
          <w:tcPr>
            <w:tcW w:type="dxa" w:w="118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Difficulty</w:t>
            </w:r>
          </w:p>
        </w:tc>
        <w:tc>
          <w:tcPr>
            <w:tcW w:type="dxa" w:w="28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Typical Price (USD)</w:t>
            </w:r>
          </w:p>
        </w:tc>
      </w:tr>
      <w:tr>
        <w:trPr>
          <w:tblHeader w:val="false"/>
        </w:trPr>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AI Chatbots / Customer-support AI</w:t>
            </w:r>
          </w:p>
        </w:tc>
        <w:tc>
          <w:tcPr>
            <w:tcW w:type="dxa" w:w="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7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1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Low–Med</w:t>
            </w:r>
          </w:p>
        </w:tc>
        <w:tc>
          <w:tcPr>
            <w:tcW w:type="dxa" w:w="28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$1.5–15k + $300–3k/mo</w:t>
            </w:r>
          </w:p>
        </w:tc>
      </w:tr>
      <w:tr>
        <w:trPr>
          <w:tblHeader w:val="false"/>
        </w:trPr>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Workflow &amp; Business-Process Automation</w:t>
            </w:r>
          </w:p>
        </w:tc>
        <w:tc>
          <w:tcPr>
            <w:tcW w:type="dxa" w:w="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1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28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$3–40k + retainer</w:t>
            </w:r>
          </w:p>
        </w:tc>
      </w:tr>
      <w:tr>
        <w:trPr>
          <w:tblHeader w:val="false"/>
        </w:trPr>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AI Agents (agentic automation)</w:t>
            </w:r>
          </w:p>
        </w:tc>
        <w:tc>
          <w:tcPr>
            <w:tcW w:type="dxa" w:w="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10</w:t>
            </w:r>
          </w:p>
        </w:tc>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6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6</w:t>
            </w:r>
          </w:p>
        </w:tc>
        <w:tc>
          <w:tcPr>
            <w:tcW w:type="dxa" w:w="7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1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28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$10–80k + usage</w:t>
            </w:r>
          </w:p>
        </w:tc>
      </w:tr>
      <w:tr>
        <w:trPr>
          <w:tblHeader w:val="false"/>
        </w:trPr>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RAG knowledge assistants</w:t>
            </w:r>
          </w:p>
        </w:tc>
        <w:tc>
          <w:tcPr>
            <w:tcW w:type="dxa" w:w="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7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1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28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$5–40k + $0.5–5k/mo</w:t>
            </w:r>
          </w:p>
        </w:tc>
      </w:tr>
      <w:tr>
        <w:trPr>
          <w:tblHeader w:val="false"/>
        </w:trPr>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Lead-gen &amp; Sales Automation</w:t>
            </w:r>
          </w:p>
        </w:tc>
        <w:tc>
          <w:tcPr>
            <w:tcW w:type="dxa" w:w="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7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1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Low–Med</w:t>
            </w:r>
          </w:p>
        </w:tc>
        <w:tc>
          <w:tcPr>
            <w:tcW w:type="dxa" w:w="28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$2–20k + $500–4k/mo</w:t>
            </w:r>
          </w:p>
        </w:tc>
      </w:tr>
      <w:tr>
        <w:trPr>
          <w:tblHeader w:val="false"/>
        </w:trPr>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AI Marketing Automation / content</w:t>
            </w:r>
          </w:p>
        </w:tc>
        <w:tc>
          <w:tcPr>
            <w:tcW w:type="dxa" w:w="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6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7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1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Low</w:t>
            </w:r>
          </w:p>
        </w:tc>
        <w:tc>
          <w:tcPr>
            <w:tcW w:type="dxa" w:w="28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$1–15k + $300–3k/mo</w:t>
            </w:r>
          </w:p>
        </w:tc>
      </w:tr>
      <w:tr>
        <w:trPr>
          <w:tblHeader w:val="false"/>
        </w:trPr>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Data Analytics &amp; BI dashboards</w:t>
            </w:r>
          </w:p>
        </w:tc>
        <w:tc>
          <w:tcPr>
            <w:tcW w:type="dxa" w:w="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1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28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$5–60k + support</w:t>
            </w:r>
          </w:p>
        </w:tc>
      </w:tr>
      <w:tr>
        <w:trPr>
          <w:tblHeader w:val="false"/>
        </w:trPr>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CRM/ERP implementation + AI</w:t>
            </w:r>
          </w:p>
        </w:tc>
        <w:tc>
          <w:tcPr>
            <w:tcW w:type="dxa" w:w="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6</w:t>
            </w:r>
          </w:p>
        </w:tc>
        <w:tc>
          <w:tcPr>
            <w:tcW w:type="dxa" w:w="7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1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Med–High</w:t>
            </w:r>
          </w:p>
        </w:tc>
        <w:tc>
          <w:tcPr>
            <w:tcW w:type="dxa" w:w="28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$10–150k + AMC</w:t>
            </w:r>
          </w:p>
        </w:tc>
      </w:tr>
      <w:tr>
        <w:trPr>
          <w:tblHeader w:val="false"/>
        </w:trPr>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Website / Web-app development</w:t>
            </w:r>
          </w:p>
        </w:tc>
        <w:tc>
          <w:tcPr>
            <w:tcW w:type="dxa" w:w="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6</w:t>
            </w:r>
          </w:p>
        </w:tc>
        <w:tc>
          <w:tcPr>
            <w:tcW w:type="dxa" w:w="6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7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5</w:t>
            </w:r>
          </w:p>
        </w:tc>
        <w:tc>
          <w:tcPr>
            <w:tcW w:type="dxa" w:w="1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Low</w:t>
            </w:r>
          </w:p>
        </w:tc>
        <w:tc>
          <w:tcPr>
            <w:tcW w:type="dxa" w:w="28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$2–50k</w:t>
            </w:r>
          </w:p>
        </w:tc>
      </w:tr>
      <w:tr>
        <w:trPr>
          <w:tblHeader w:val="false"/>
        </w:trPr>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Custom software / SaaS build</w:t>
            </w:r>
          </w:p>
        </w:tc>
        <w:tc>
          <w:tcPr>
            <w:tcW w:type="dxa" w:w="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5</w:t>
            </w:r>
          </w:p>
        </w:tc>
        <w:tc>
          <w:tcPr>
            <w:tcW w:type="dxa" w:w="7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1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28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$15–250k+</w:t>
            </w:r>
          </w:p>
        </w:tc>
      </w:tr>
      <w:tr>
        <w:trPr>
          <w:tblHeader w:val="false"/>
        </w:trPr>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Predictive analytics / ML models</w:t>
            </w:r>
          </w:p>
        </w:tc>
        <w:tc>
          <w:tcPr>
            <w:tcW w:type="dxa" w:w="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6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5</w:t>
            </w:r>
          </w:p>
        </w:tc>
        <w:tc>
          <w:tcPr>
            <w:tcW w:type="dxa" w:w="7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1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28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$15–120k + MLOps</w:t>
            </w:r>
          </w:p>
        </w:tc>
      </w:tr>
      <w:tr>
        <w:trPr>
          <w:tblHeader w:val="false"/>
        </w:trPr>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AI Voice agents</w:t>
            </w:r>
          </w:p>
        </w:tc>
        <w:tc>
          <w:tcPr>
            <w:tcW w:type="dxa" w:w="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6</w:t>
            </w:r>
          </w:p>
        </w:tc>
        <w:tc>
          <w:tcPr>
            <w:tcW w:type="dxa" w:w="7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1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Med–High</w:t>
            </w:r>
          </w:p>
        </w:tc>
        <w:tc>
          <w:tcPr>
            <w:tcW w:type="dxa" w:w="28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$5–50k + usage</w:t>
            </w:r>
          </w:p>
        </w:tc>
      </w:tr>
      <w:tr>
        <w:trPr>
          <w:tblHeader w:val="false"/>
        </w:trPr>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Computer-vision (QC, retail, security)</w:t>
            </w:r>
          </w:p>
        </w:tc>
        <w:tc>
          <w:tcPr>
            <w:tcW w:type="dxa" w:w="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6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5</w:t>
            </w:r>
          </w:p>
        </w:tc>
        <w:tc>
          <w:tcPr>
            <w:tcW w:type="dxa" w:w="7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1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28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$15–150k</w:t>
            </w:r>
          </w:p>
        </w:tc>
      </w:tr>
      <w:tr>
        <w:trPr>
          <w:tblHeader w:val="false"/>
        </w:trPr>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RPA / Intelligent Process Automation</w:t>
            </w:r>
          </w:p>
        </w:tc>
        <w:tc>
          <w:tcPr>
            <w:tcW w:type="dxa" w:w="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6</w:t>
            </w:r>
          </w:p>
        </w:tc>
        <w:tc>
          <w:tcPr>
            <w:tcW w:type="dxa" w:w="7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1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28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$8–80k + licences</w:t>
            </w:r>
          </w:p>
        </w:tc>
      </w:tr>
      <w:tr>
        <w:trPr>
          <w:tblHeader w:val="false"/>
        </w:trPr>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HR / Recruitment automation</w:t>
            </w:r>
          </w:p>
        </w:tc>
        <w:tc>
          <w:tcPr>
            <w:tcW w:type="dxa" w:w="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6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1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Low–Med</w:t>
            </w:r>
          </w:p>
        </w:tc>
        <w:tc>
          <w:tcPr>
            <w:tcW w:type="dxa" w:w="28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$3–30k + SaaS</w:t>
            </w:r>
          </w:p>
        </w:tc>
      </w:tr>
      <w:tr>
        <w:trPr>
          <w:tblHeader w:val="false"/>
        </w:trPr>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AI Dashboards / exec reporting</w:t>
            </w:r>
          </w:p>
        </w:tc>
        <w:tc>
          <w:tcPr>
            <w:tcW w:type="dxa" w:w="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6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1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Low–Med</w:t>
            </w:r>
          </w:p>
        </w:tc>
        <w:tc>
          <w:tcPr>
            <w:tcW w:type="dxa" w:w="28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$3–25k + retainer</w:t>
            </w:r>
          </w:p>
        </w:tc>
      </w:tr>
      <w:tr>
        <w:trPr>
          <w:tblHeader w:val="false"/>
        </w:trPr>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Cybersecurity (AI-driven)</w:t>
            </w:r>
          </w:p>
        </w:tc>
        <w:tc>
          <w:tcPr>
            <w:tcW w:type="dxa" w:w="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5</w:t>
            </w:r>
          </w:p>
        </w:tc>
        <w:tc>
          <w:tcPr>
            <w:tcW w:type="dxa" w:w="7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1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28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$10–120k + MSSP</w:t>
            </w:r>
          </w:p>
        </w:tc>
      </w:tr>
      <w:tr>
        <w:trPr>
          <w:tblHeader w:val="false"/>
        </w:trPr>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Cloud migration &amp; managed cloud</w:t>
            </w:r>
          </w:p>
        </w:tc>
        <w:tc>
          <w:tcPr>
            <w:tcW w:type="dxa" w:w="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w:t>
            </w:r>
          </w:p>
        </w:tc>
        <w:tc>
          <w:tcPr>
            <w:tcW w:type="dxa" w:w="6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6</w:t>
            </w:r>
          </w:p>
        </w:tc>
        <w:tc>
          <w:tcPr>
            <w:tcW w:type="dxa" w:w="7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1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Med–High</w:t>
            </w:r>
          </w:p>
        </w:tc>
        <w:tc>
          <w:tcPr>
            <w:tcW w:type="dxa" w:w="28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$10–200k + managed</w:t>
            </w:r>
          </w:p>
        </w:tc>
      </w:tr>
      <w:tr>
        <w:trPr>
          <w:tblHeader w:val="false"/>
        </w:trPr>
        <w:tc>
          <w:tcPr>
            <w:tcW w:type="dxa" w:w="2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Digital-transformation consulting</w:t>
            </w:r>
          </w:p>
        </w:tc>
        <w:tc>
          <w:tcPr>
            <w:tcW w:type="dxa" w:w="6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6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5</w:t>
            </w:r>
          </w:p>
        </w:tc>
        <w:tc>
          <w:tcPr>
            <w:tcW w:type="dxa" w:w="7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6</w:t>
            </w:r>
          </w:p>
        </w:tc>
        <w:tc>
          <w:tcPr>
            <w:tcW w:type="dxa" w:w="118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28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$15–250k</w:t>
            </w:r>
          </w:p>
        </w:tc>
      </w:tr>
      <w:tr>
        <w:trPr>
          <w:tblHeader w:val="false"/>
        </w:trPr>
        <w:tc>
          <w:tcPr>
            <w:tcW w:type="dxa" w:w="2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Supply-chain / inventory optimisation</w:t>
            </w:r>
          </w:p>
        </w:tc>
        <w:tc>
          <w:tcPr>
            <w:tcW w:type="dxa" w:w="6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9</w:t>
            </w:r>
          </w:p>
        </w:tc>
        <w:tc>
          <w:tcPr>
            <w:tcW w:type="dxa" w:w="6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5</w:t>
            </w:r>
          </w:p>
        </w:tc>
        <w:tc>
          <w:tcPr>
            <w:tcW w:type="dxa" w:w="7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7</w:t>
            </w:r>
          </w:p>
        </w:tc>
        <w:tc>
          <w:tcPr>
            <w:tcW w:type="dxa" w:w="118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28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$15–150k</w:t>
            </w:r>
          </w:p>
        </w:tc>
      </w:tr>
    </w:tbl>
    <w:p>
      <w:pPr>
        <w:spacing w:after="160" w:before="40"/>
      </w:pPr>
      <w:r>
        <w:rPr>
          <w:i/>
          <w:iCs/>
          <w:color w:val="595959"/>
          <w:sz w:val="16"/>
          <w:szCs w:val="16"/>
        </w:rPr>
        <w:t xml:space="preserve">Figure 4. Service scoring matrix (composite analyst + market view).</w:t>
      </w:r>
    </w:p>
    <w:p>
      <w:pPr>
        <w:pStyle w:val="Heading2"/>
      </w:pPr>
      <w:r>
        <w:t xml:space="preserve">4.3 Demand vs. Recurring-Revenue Leaders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00"/>
        <w:gridCol w:w="4760"/>
        <w:gridCol w:w="1900"/>
      </w:tblGrid>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AI Agents</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760"/>
              <w:gridCol w:w="1"/>
            </w:tblGrid>
            <w:tr>
              <w:tc>
                <w:tcPr>
                  <w:tcW w:type="dxa" w:w="4760"/>
                  <w:tcBorders>
                    <w:top w:val="none" w:color="FFFFFF" w:sz="0"/>
                    <w:left w:val="none" w:color="FFFFFF" w:sz="0"/>
                    <w:bottom w:val="none" w:color="FFFFFF" w:sz="0"/>
                    <w:right w:val="none" w:color="FFFFFF" w:sz="0"/>
                  </w:tcBorders>
                  <w:shd w:fill="548235" w:val="clear"/>
                  <w:tcMar>
                    <w:top w:type="dxa" w:w="30"/>
                    <w:left w:type="dxa" w:w="0"/>
                    <w:bottom w:type="dxa" w:w="30"/>
                    <w:right w:type="dxa" w:w="0"/>
                  </w:tcMar>
                </w:tcPr>
                <w:p>
                  <w:r>
                    <w:rPr>
                      <w:sz w:val="14"/>
                      <w:szCs w:val="14"/>
                    </w:rPr>
                    <w:t xml:space="preserve"/>
                  </w:r>
                </w:p>
              </w:tc>
              <w:tc>
                <w:tcPr>
                  <w:tcW w:type="dxa" w:w="1"/>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10</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AI Chatbots</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284"/>
              <w:gridCol w:w="476"/>
            </w:tblGrid>
            <w:tr>
              <w:tc>
                <w:tcPr>
                  <w:tcW w:type="dxa" w:w="4284"/>
                  <w:tcBorders>
                    <w:top w:val="none" w:color="FFFFFF" w:sz="0"/>
                    <w:left w:val="none" w:color="FFFFFF" w:sz="0"/>
                    <w:bottom w:val="none" w:color="FFFFFF" w:sz="0"/>
                    <w:right w:val="none" w:color="FFFFFF" w:sz="0"/>
                  </w:tcBorders>
                  <w:shd w:fill="548235" w:val="clear"/>
                  <w:tcMar>
                    <w:top w:type="dxa" w:w="30"/>
                    <w:left w:type="dxa" w:w="0"/>
                    <w:bottom w:type="dxa" w:w="30"/>
                    <w:right w:type="dxa" w:w="0"/>
                  </w:tcMar>
                </w:tcPr>
                <w:p>
                  <w:r>
                    <w:rPr>
                      <w:sz w:val="14"/>
                      <w:szCs w:val="14"/>
                    </w:rPr>
                    <w:t xml:space="preserve"/>
                  </w:r>
                </w:p>
              </w:tc>
              <w:tc>
                <w:tcPr>
                  <w:tcW w:type="dxa" w:w="476"/>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9</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Workflow Automation</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284"/>
              <w:gridCol w:w="476"/>
            </w:tblGrid>
            <w:tr>
              <w:tc>
                <w:tcPr>
                  <w:tcW w:type="dxa" w:w="4284"/>
                  <w:tcBorders>
                    <w:top w:val="none" w:color="FFFFFF" w:sz="0"/>
                    <w:left w:val="none" w:color="FFFFFF" w:sz="0"/>
                    <w:bottom w:val="none" w:color="FFFFFF" w:sz="0"/>
                    <w:right w:val="none" w:color="FFFFFF" w:sz="0"/>
                  </w:tcBorders>
                  <w:shd w:fill="548235" w:val="clear"/>
                  <w:tcMar>
                    <w:top w:type="dxa" w:w="30"/>
                    <w:left w:type="dxa" w:w="0"/>
                    <w:bottom w:type="dxa" w:w="30"/>
                    <w:right w:type="dxa" w:w="0"/>
                  </w:tcMar>
                </w:tcPr>
                <w:p>
                  <w:r>
                    <w:rPr>
                      <w:sz w:val="14"/>
                      <w:szCs w:val="14"/>
                    </w:rPr>
                    <w:t xml:space="preserve"/>
                  </w:r>
                </w:p>
              </w:tc>
              <w:tc>
                <w:tcPr>
                  <w:tcW w:type="dxa" w:w="476"/>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9</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Lead-gen / Sales Auto</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284"/>
              <w:gridCol w:w="476"/>
            </w:tblGrid>
            <w:tr>
              <w:tc>
                <w:tcPr>
                  <w:tcW w:type="dxa" w:w="4284"/>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476"/>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9</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RAG Assistants</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284"/>
              <w:gridCol w:w="476"/>
            </w:tblGrid>
            <w:tr>
              <w:tc>
                <w:tcPr>
                  <w:tcW w:type="dxa" w:w="4284"/>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476"/>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9</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Marketing Automation</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284"/>
              <w:gridCol w:w="476"/>
            </w:tblGrid>
            <w:tr>
              <w:tc>
                <w:tcPr>
                  <w:tcW w:type="dxa" w:w="4284"/>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476"/>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9</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Web / App Dev</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284"/>
              <w:gridCol w:w="476"/>
            </w:tblGrid>
            <w:tr>
              <w:tc>
                <w:tcPr>
                  <w:tcW w:type="dxa" w:w="4284"/>
                  <w:tcBorders>
                    <w:top w:val="none" w:color="FFFFFF" w:sz="0"/>
                    <w:left w:val="none" w:color="FFFFFF" w:sz="0"/>
                    <w:bottom w:val="none" w:color="FFFFFF" w:sz="0"/>
                    <w:right w:val="none" w:color="FFFFFF" w:sz="0"/>
                  </w:tcBorders>
                  <w:shd w:fill="BF8F00" w:val="clear"/>
                  <w:tcMar>
                    <w:top w:type="dxa" w:w="30"/>
                    <w:left w:type="dxa" w:w="0"/>
                    <w:bottom w:type="dxa" w:w="30"/>
                    <w:right w:type="dxa" w:w="0"/>
                  </w:tcMar>
                </w:tcPr>
                <w:p>
                  <w:r>
                    <w:rPr>
                      <w:sz w:val="14"/>
                      <w:szCs w:val="14"/>
                    </w:rPr>
                    <w:t xml:space="preserve"/>
                  </w:r>
                </w:p>
              </w:tc>
              <w:tc>
                <w:tcPr>
                  <w:tcW w:type="dxa" w:w="476"/>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9 (low recur.)</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Analytics &amp; BI</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808"/>
              <w:gridCol w:w="952"/>
            </w:tblGrid>
            <w:tr>
              <w:tc>
                <w:tcPr>
                  <w:tcW w:type="dxa" w:w="3808"/>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952"/>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8</w:t>
            </w:r>
          </w:p>
        </w:tc>
      </w:tr>
    </w:tbl>
    <w:p>
      <w:pPr>
        <w:spacing w:after="160" w:before="40"/>
      </w:pPr>
      <w:r>
        <w:rPr>
          <w:i/>
          <w:iCs/>
          <w:color w:val="595959"/>
          <w:sz w:val="16"/>
          <w:szCs w:val="16"/>
        </w:rPr>
        <w:t xml:space="preserve">Figure 5. Demand score by service (color = recurring-revenue strength: green high, amber low).</w:t>
      </w:r>
    </w:p>
    <w:p>
      <w:pPr>
        <w:pStyle w:val="Heading2"/>
      </w:pPr>
      <w:r>
        <w:t xml:space="preserve">4.4 Why Companies Buy — Top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Service</w:t>
            </w:r>
          </w:p>
        </w:tc>
        <w:tc>
          <w:tcPr>
            <w:tcW w:type="dxa" w:w="3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Why they buy</w:t>
            </w:r>
          </w:p>
        </w:tc>
        <w:tc>
          <w:tcPr>
            <w:tcW w:type="dxa" w:w="33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Industries demanding it most</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AI Chatbots / Support AI</w:t>
            </w:r>
          </w:p>
        </w:tc>
        <w:tc>
          <w:tcPr>
            <w:tcW w:type="dxa" w:w="3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Cut support cost 30–60%, 24/7 coverage, faster response</w:t>
            </w:r>
          </w:p>
        </w:tc>
        <w:tc>
          <w:tcPr>
            <w:tcW w:type="dxa" w:w="33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E-commerce, BFSI, healthcare, real estate, travel, education</w:t>
            </w:r>
          </w:p>
        </w:tc>
      </w:tr>
      <w:tr>
        <w:trPr>
          <w:tblHeader w:val="false"/>
        </w:trPr>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Workflow Automation</w:t>
            </w:r>
          </w:p>
        </w:tc>
        <w:tc>
          <w:tcPr>
            <w:tcW w:type="dxa" w:w="3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Eliminate manual ops, fewer errors, scale without headcount</w:t>
            </w:r>
          </w:p>
        </w:tc>
        <w:tc>
          <w:tcPr>
            <w:tcW w:type="dxa" w:w="33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Manufacturing, logistics, finance, HR, services</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AI Agents</w:t>
            </w:r>
          </w:p>
        </w:tc>
        <w:tc>
          <w:tcPr>
            <w:tcW w:type="dxa" w:w="3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Automate multi-step knowledge work end-to-end</w:t>
            </w:r>
          </w:p>
        </w:tc>
        <w:tc>
          <w:tcPr>
            <w:tcW w:type="dxa" w:w="33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All — esp. ops, sales, support, finance</w:t>
            </w:r>
          </w:p>
        </w:tc>
      </w:tr>
      <w:tr>
        <w:trPr>
          <w:tblHeader w:val="false"/>
        </w:trPr>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Lead-gen / Sales Automation</w:t>
            </w:r>
          </w:p>
        </w:tc>
        <w:tc>
          <w:tcPr>
            <w:tcW w:type="dxa" w:w="3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More qualified pipeline, lower CAC, faster follow-up</w:t>
            </w:r>
          </w:p>
        </w:tc>
        <w:tc>
          <w:tcPr>
            <w:tcW w:type="dxa" w:w="33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B2B services, real estate, exports, SaaS, education</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Marketing Automation</w:t>
            </w:r>
          </w:p>
        </w:tc>
        <w:tc>
          <w:tcPr>
            <w:tcW w:type="dxa" w:w="3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Content at scale, personalisation, lower agency cost</w:t>
            </w:r>
          </w:p>
        </w:tc>
        <w:tc>
          <w:tcPr>
            <w:tcW w:type="dxa" w:w="33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D2C, retail, e-commerce, hospitality</w:t>
            </w:r>
          </w:p>
        </w:tc>
      </w:tr>
      <w:tr>
        <w:trPr>
          <w:tblHeader w:val="false"/>
        </w:trPr>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Analytics &amp; BI</w:t>
            </w:r>
          </w:p>
        </w:tc>
        <w:tc>
          <w:tcPr>
            <w:tcW w:type="dxa" w:w="3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Decisions from data, replace gut-feel + manual Excel</w:t>
            </w:r>
          </w:p>
        </w:tc>
        <w:tc>
          <w:tcPr>
            <w:tcW w:type="dxa" w:w="33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Retail, manufacturing, BFSI, healthcare</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CRM/ERP + AI</w:t>
            </w:r>
          </w:p>
        </w:tc>
        <w:tc>
          <w:tcPr>
            <w:tcW w:type="dxa" w:w="3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Single source of truth, automated processes</w:t>
            </w:r>
          </w:p>
        </w:tc>
        <w:tc>
          <w:tcPr>
            <w:tcW w:type="dxa" w:w="33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Manufacturing, distribution, services, exports</w:t>
            </w:r>
          </w:p>
        </w:tc>
      </w:tr>
    </w:tbl>
    <w:p>
      <w:pPr>
        <w:pStyle w:val="Heading2"/>
      </w:pPr>
      <w:r>
        <w:t xml:space="preserve">4.5 Profit, Difficulty &amp; Recommended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600"/>
        <w:gridCol w:w="3760"/>
      </w:tblGrid>
      <w:tr>
        <w:trPr>
          <w:tblHeader/>
        </w:trPr>
        <w:tc>
          <w:tcPr>
            <w:tcW w:type="dxa" w:w="2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Service</w:t>
            </w:r>
          </w:p>
        </w:tc>
        <w:tc>
          <w:tcPr>
            <w:tcW w:type="dxa" w:w="1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Gross margin</w:t>
            </w:r>
          </w:p>
        </w:tc>
        <w:tc>
          <w:tcPr>
            <w:tcW w:type="dxa" w:w="16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Team needed</w:t>
            </w:r>
          </w:p>
        </w:tc>
        <w:tc>
          <w:tcPr>
            <w:tcW w:type="dxa" w:w="37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Recommended business model</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AI Chatbots / RAG</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55–75%</w:t>
            </w:r>
          </w:p>
        </w:tc>
        <w:tc>
          <w:tcPr>
            <w:tcW w:type="dxa" w:w="1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2–3 (eng + PM)</w:t>
            </w:r>
          </w:p>
        </w:tc>
        <w:tc>
          <w:tcPr>
            <w:tcW w:type="dxa" w:w="37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Build fee + monthly managed/usage retainer</w:t>
            </w:r>
          </w:p>
        </w:tc>
      </w:tr>
      <w:tr>
        <w:trPr>
          <w:tblHeader w:val="false"/>
        </w:trPr>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Workflow / RPA / IPA</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50–70%</w:t>
            </w:r>
          </w:p>
        </w:tc>
        <w:tc>
          <w:tcPr>
            <w:tcW w:type="dxa" w:w="1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2–4</w:t>
            </w:r>
          </w:p>
        </w:tc>
        <w:tc>
          <w:tcPr>
            <w:tcW w:type="dxa" w:w="37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Build + run (managed automation) retainer</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Lead-gen / Sales Auto</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60–80%</w:t>
            </w:r>
          </w:p>
        </w:tc>
        <w:tc>
          <w:tcPr>
            <w:tcW w:type="dxa" w:w="1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1–2 + tools</w:t>
            </w:r>
          </w:p>
        </w:tc>
        <w:tc>
          <w:tcPr>
            <w:tcW w:type="dxa" w:w="37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Setup + monthly performance retainer</w:t>
            </w:r>
          </w:p>
        </w:tc>
      </w:tr>
      <w:tr>
        <w:trPr>
          <w:tblHeader w:val="false"/>
        </w:trPr>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Marketing Automation</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60–80%</w:t>
            </w:r>
          </w:p>
        </w:tc>
        <w:tc>
          <w:tcPr>
            <w:tcW w:type="dxa" w:w="1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1–3</w:t>
            </w:r>
          </w:p>
        </w:tc>
        <w:tc>
          <w:tcPr>
            <w:tcW w:type="dxa" w:w="37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Monthly retainer (highly recurring)</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Analytics &amp; BI</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45–65%</w:t>
            </w:r>
          </w:p>
        </w:tc>
        <w:tc>
          <w:tcPr>
            <w:tcW w:type="dxa" w:w="1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2–4</w:t>
            </w:r>
          </w:p>
        </w:tc>
        <w:tc>
          <w:tcPr>
            <w:tcW w:type="dxa" w:w="37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Project + dashboard support subscription</w:t>
            </w:r>
          </w:p>
        </w:tc>
      </w:tr>
      <w:tr>
        <w:trPr>
          <w:tblHeader w:val="false"/>
        </w:trPr>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Custom SaaS / software</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35–55%</w:t>
            </w:r>
          </w:p>
        </w:tc>
        <w:tc>
          <w:tcPr>
            <w:tcW w:type="dxa" w:w="1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4–8</w:t>
            </w:r>
          </w:p>
        </w:tc>
        <w:tc>
          <w:tcPr>
            <w:tcW w:type="dxa" w:w="37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Fixed-bid build, then AMC + features</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Computer vision / ML</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40–60%</w:t>
            </w:r>
          </w:p>
        </w:tc>
        <w:tc>
          <w:tcPr>
            <w:tcW w:type="dxa" w:w="1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3–5 (ML heavy)</w:t>
            </w:r>
          </w:p>
        </w:tc>
        <w:tc>
          <w:tcPr>
            <w:tcW w:type="dxa" w:w="37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Project + MLOps managed services</w:t>
            </w:r>
          </w:p>
        </w:tc>
      </w:tr>
      <w:tr>
        <w:trPr>
          <w:tblHeader w:val="false"/>
        </w:trPr>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Digital-transformation consulting</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55–75%</w:t>
            </w:r>
          </w:p>
        </w:tc>
        <w:tc>
          <w:tcPr>
            <w:tcW w:type="dxa" w:w="1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1–3 senior</w:t>
            </w:r>
          </w:p>
        </w:tc>
        <w:tc>
          <w:tcPr>
            <w:tcW w:type="dxa" w:w="37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Advisory retainer → implementation pull-through</w:t>
            </w:r>
          </w:p>
        </w:tc>
      </w:tr>
    </w:tbl>
    <w:p>
      <w:pPr>
        <w:pStyle w:val="Heading2"/>
      </w:pPr>
      <w:r>
        <w:t xml:space="preserve">4.6 Competitor Saturation</w:t>
      </w:r>
    </w:p>
    <w:p>
      <w:pPr>
        <w:pStyle w:val="ListParagraph"/>
        <w:numPr>
          <w:ilvl w:val="0"/>
          <w:numId w:val="2"/>
        </w:numPr>
        <w:spacing w:after="40" w:line="264"/>
      </w:pPr>
      <w:r>
        <w:rPr>
          <w:b/>
          <w:bCs/>
        </w:rPr>
        <w:t xml:space="preserve">High saturation (compete on niche/price): </w:t>
      </w:r>
      <w:r>
        <w:t xml:space="preserve">website/app dev, generic chatbots, basic marketing automation.</w:t>
      </w:r>
    </w:p>
    <w:p>
      <w:pPr>
        <w:pStyle w:val="ListParagraph"/>
        <w:numPr>
          <w:ilvl w:val="0"/>
          <w:numId w:val="2"/>
        </w:numPr>
        <w:spacing w:after="40" w:line="264"/>
      </w:pPr>
      <w:r>
        <w:rPr>
          <w:b/>
          <w:bCs/>
        </w:rPr>
        <w:t xml:space="preserve">Medium (differentiate on vertical/outcome): </w:t>
      </w:r>
      <w:r>
        <w:t xml:space="preserve">workflow automation, analytics/BI, CRM/ERP, RPA.</w:t>
      </w:r>
    </w:p>
    <w:p>
      <w:pPr>
        <w:pStyle w:val="ListParagraph"/>
        <w:numPr>
          <w:ilvl w:val="0"/>
          <w:numId w:val="2"/>
        </w:numPr>
        <w:spacing w:after="40" w:line="264"/>
      </w:pPr>
      <w:r>
        <w:rPr>
          <w:b/>
          <w:bCs/>
        </w:rPr>
        <w:t xml:space="preserve">Low (blue-water for a focused entrant): </w:t>
      </w:r>
      <w:r>
        <w:t xml:space="preserve">vertical AI agents, RAG over private data, AI governance/pilot-rescue, vernacular/SME automation, export &amp; compliance automation.</w:t>
      </w:r>
    </w:p>
    <w:p>
      <w:pPr>
        <w:pStyle w:val="Heading2"/>
      </w:pPr>
      <w:r>
        <w:t xml:space="preserve">4.7 Quick-Win Services for a New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Start here — fast cash, fast proof</w:t>
            </w:r>
          </w:p>
          <w:p>
            <w:pPr>
              <w:spacing w:after="40"/>
            </w:pPr>
            <w:r>
              <w:rPr>
                <w:sz w:val="18"/>
                <w:szCs w:val="18"/>
              </w:rPr>
              <w:t xml:space="preserve">1. AI Chatbots / WhatsApp + RAG support bots — short build, instant demo, monthly retainer.</w:t>
            </w:r>
          </w:p>
          <w:p>
            <w:pPr>
              <w:spacing w:after="40"/>
            </w:pPr>
            <w:r>
              <w:rPr>
                <w:sz w:val="18"/>
                <w:szCs w:val="18"/>
              </w:rPr>
              <w:t xml:space="preserve">2. Lead-gen &amp; Sales automation — sell to businesses that themselves want growth; performance-linked retainers.</w:t>
            </w:r>
          </w:p>
          <w:p>
            <w:pPr>
              <w:spacing w:after="40"/>
            </w:pPr>
            <w:r>
              <w:rPr>
                <w:sz w:val="18"/>
                <w:szCs w:val="18"/>
              </w:rPr>
              <w:t xml:space="preserve">3. Workflow / back-office automation — high pain, clear ROI, sticky 'build + run' revenue.</w:t>
            </w:r>
          </w:p>
          <w:p>
            <w:pPr>
              <w:spacing w:after="40"/>
            </w:pPr>
            <w:r>
              <w:rPr>
                <w:sz w:val="18"/>
                <w:szCs w:val="18"/>
              </w:rPr>
              <w:t xml:space="preserve">4. AI marketing / content automation — low delivery risk, recurring, easy upsell.</w:t>
            </w:r>
          </w:p>
          <w:p>
            <w:pPr>
              <w:spacing w:after="40"/>
            </w:pPr>
            <w:r>
              <w:rPr>
                <w:sz w:val="18"/>
                <w:szCs w:val="18"/>
              </w:rPr>
              <w:t xml:space="preserve">5. Analytics dashboards — visible value, gateway to larger transformation work.</w:t>
            </w:r>
          </w:p>
          <w:p>
            <w:pPr>
              <w:spacing w:after="40"/>
            </w:pPr>
            <w:r>
              <w:rPr>
                <w:sz w:val="18"/>
                <w:szCs w:val="18"/>
              </w:rPr>
              <w:t xml:space="preserve">These 5 are fast to sell, fast to deliver, recurring, and deliverable with a lean AI-native team.</w:t>
            </w:r>
          </w:p>
        </w:tc>
      </w:tr>
    </w:tbl>
    <w:p>
      <w:pPr>
        <w:spacing w:after="160"/>
      </w:pPr>
      <w:r>
        <w:rPr>
          <w:i/>
          <w:iCs/>
          <w:color w:val="595959"/>
          <w:sz w:val="16"/>
          <w:szCs w:val="16"/>
        </w:rPr>
        <w:t xml:space="preserve">Source: Composite of Grand View, Precedence, Future Market Insights, Technavio service-segment data + practitioner benchmarks (2024–2026). Pricing = market-observed SME/mid-market ranges. Full citations in References.</w:t>
      </w:r>
    </w:p>
    <w:p>
      <w:pPr>
        <w:pStyle w:val="Heading1"/>
        <w:pageBreakBefore/>
      </w:pPr>
      <w:r>
        <w:t xml:space="preserve">5. Industry-Wise Opportunity Analysis</w:t>
      </w:r>
    </w:p>
    <w:p>
      <w:pPr>
        <w:spacing w:after="140" w:line="276"/>
      </w:pPr>
      <w:r>
        <w:rPr>
          <w:i/>
          <w:iCs/>
          <w:color w:val="595959"/>
        </w:rPr>
        <w:t xml:space="preserve">Every industry has the same disease — manual, repetitive, error-prone work — and AI is the cure. The art is choosing industries where pain is high, budgets exist, and you can build a repeatable, productised solution rather than a bespoke project each time.</w:t>
      </w:r>
    </w:p>
    <w:p>
      <w:pPr>
        <w:spacing w:after="120" w:line="276"/>
        <w:jc w:val="both"/>
      </w:pPr>
      <w:r>
        <w:t xml:space="preserve">The matrix below maps 22 industries to their core pain points, the highest-ROI services, typical project value (SME/mid-market) and a sell-ability rating (★ = ease of landing + repeatability). Industries marked ★★★★★ combine acute pain, ready budget and productisable solutions — the priority hunting grounds for a new division, especially in a Gujarat/India context.</w:t>
      </w:r>
    </w:p>
    <w:p>
      <w:pPr>
        <w:pStyle w:val="Heading2"/>
      </w:pPr>
      <w:r>
        <w:t xml:space="preserve">5.1 Industry Opportunity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50"/>
        <w:gridCol w:w="2950"/>
        <w:gridCol w:w="1150"/>
        <w:gridCol w:w="1210"/>
      </w:tblGrid>
      <w:tr>
        <w:trPr>
          <w:tblHeader/>
        </w:trPr>
        <w:tc>
          <w:tcPr>
            <w:tcW w:type="dxa" w:w="1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Industry</w:t>
            </w:r>
          </w:p>
        </w:tc>
        <w:tc>
          <w:tcPr>
            <w:tcW w:type="dxa" w:w="25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Key pain points</w:t>
            </w:r>
          </w:p>
        </w:tc>
        <w:tc>
          <w:tcPr>
            <w:tcW w:type="dxa" w:w="29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Highest-ROI AI / automation services</w:t>
            </w:r>
          </w:p>
        </w:tc>
        <w:tc>
          <w:tcPr>
            <w:tcW w:type="dxa" w:w="11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Project value</w:t>
            </w:r>
          </w:p>
        </w:tc>
        <w:tc>
          <w:tcPr>
            <w:tcW w:type="dxa" w:w="121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Sell-ability</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Manufacturing</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Manual QC, downtime, paper logs, planning by gut</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Vision QC, predictive maintenance, demand forecasting, MES copilots</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$15–150k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Healthcare / Clinics</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Appointment chaos, no-shows, billing, records</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Booking/voice agents, RAG patient FAQ, claims/billing automation</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$5–60k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Pharma</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R&amp;D data, compliance, pharmacovigilance, sales</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Doc AI, regulatory automation, predictive analytics, rep copilots</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$25–250k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Education / EdTech</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Admissions, support, grading, personalization</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Admission chatbots, AI tutors, content gen, ops automation</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$3–40k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Hospitality</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Bookings, reviews, staffing, upsell</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Voice/chat booking, review/CX AI, dynamic pricing</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$3–30k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Food Processing / Organic Food</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Quality, traceability, demand, exports</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Vision grading, traceability, demand forecasting, export docs</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$10–80k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Agriculture / Agritech</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Yield, advisory, supply linkage</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Crop/vision AI, vernacular advisory bots, mandi/price analytics</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$5–60k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Logistics / Supply Chain</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Routing, tracking, manual coordination</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Route/ETA AI, control-tower dashboards, doc automation</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$15–150k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Real Estate</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Lead handling, slow follow-up, site queries</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Lead-gen + WhatsApp/voice agents, virtual tours, CRM automation</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$2–25k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Finance / Banking / NBFC</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Onboarding, fraud, support, reporting</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KYC/onboarding AI, fraud ML, support bots, reg-reporting automation</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$15–200k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Insurance</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Underwriting, claims, agent productivity</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Claims automation, risk ML, agent copilots, support AI</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$15–150k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Retail / E-commerce</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Support volume, personalization, inventory</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Support/voice AI, recommendation, inventory + demand forecasting</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$3–60k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Automotive / Dealerships</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Lead follow-up, service booking, inventory</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Lead + service-booking agents, parts demand ML, CRM automation</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$5–50k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Export / Import</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Documentation, compliance, comms, leads</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Trade-doc automation, compliance AI, multilingual lead/comms agents</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$5–60k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Construction / Real-estate dev</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Project tracking, procurement, safety</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Vision safety/progress, procurement analytics, doc automation</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$15–120k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HR / Recruitment</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Screening, scheduling, onboarding, queries</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Resume-screening AI, scheduling/onboarding bots, HR copilots</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$3–40k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Legal</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Document review, research, intake</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Contract/doc AI, research copilots, client-intake automation</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$5–60k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Textile</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Design, QC, order mgmt, exports</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Design GenAI, vision QC, order + export automation</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$8–80k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Travel</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Bookings, itineraries, support</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Itinerary/voice agents, dynamic packaging, support AI</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$3–40k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Energy / Utilities</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Asset monitoring, demand, outages</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Predictive maintenance, demand ML, vision inspection</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$25–200k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Telecom</w:t>
            </w:r>
          </w:p>
        </w:tc>
        <w:tc>
          <w:tcPr>
            <w:tcW w:type="dxa" w:w="25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Churn, support, network ops</w:t>
            </w:r>
          </w:p>
        </w:tc>
        <w:tc>
          <w:tcPr>
            <w:tcW w:type="dxa" w:w="29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Churn ML, support automation, network analytics</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$25–250k</w:t>
            </w:r>
          </w:p>
        </w:tc>
        <w:tc>
          <w:tcPr>
            <w:tcW w:type="dxa" w:w="12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Government / Public</w:t>
            </w:r>
          </w:p>
        </w:tc>
        <w:tc>
          <w:tcPr>
            <w:tcW w:type="dxa" w:w="25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Citizen services, records, grievances</w:t>
            </w:r>
          </w:p>
        </w:tc>
        <w:tc>
          <w:tcPr>
            <w:tcW w:type="dxa" w:w="29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Multilingual citizen bots, doc digitisation, analytics</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$15–250k</w:t>
            </w:r>
          </w:p>
        </w:tc>
        <w:tc>
          <w:tcPr>
            <w:tcW w:type="dxa" w:w="12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w:t>
            </w:r>
          </w:p>
        </w:tc>
      </w:tr>
    </w:tbl>
    <w:p>
      <w:pPr>
        <w:spacing w:after="160" w:before="40"/>
      </w:pPr>
      <w:r>
        <w:rPr>
          <w:i/>
          <w:iCs/>
          <w:color w:val="595959"/>
          <w:sz w:val="16"/>
          <w:szCs w:val="16"/>
        </w:rPr>
        <w:t xml:space="preserve">Figure 6. Industry × opportunity matrix. Project value = typical SME/mid-market engagement (USD).</w:t>
      </w:r>
    </w:p>
    <w:p>
      <w:pPr>
        <w:pStyle w:val="Heading2"/>
      </w:pPr>
      <w:r>
        <w:t xml:space="preserve">5.2 Highest-Priority Industries (★★★★★) — Deeper View</w:t>
      </w:r>
    </w:p>
    <w:p>
      <w:pPr>
        <w:pStyle w:val="Heading3"/>
      </w:pPr>
      <w:r>
        <w:t xml:space="preserve">Manufacturing (incl. textile, chemicals, food processing — Gujarat core)</w:t>
      </w:r>
    </w:p>
    <w:p>
      <w:pPr>
        <w:pStyle w:val="ListParagraph"/>
        <w:numPr>
          <w:ilvl w:val="0"/>
          <w:numId w:val="2"/>
        </w:numPr>
        <w:spacing w:after="40" w:line="264"/>
      </w:pPr>
      <w:r>
        <w:t xml:space="preserve">Pain: manual quality inspection, unplanned downtime, paper-based logs, gut-feel planning, fragmented data.</w:t>
      </w:r>
    </w:p>
    <w:p>
      <w:pPr>
        <w:pStyle w:val="ListParagraph"/>
        <w:numPr>
          <w:ilvl w:val="0"/>
          <w:numId w:val="2"/>
        </w:numPr>
        <w:spacing w:after="40" w:line="264"/>
      </w:pPr>
      <w:r>
        <w:t xml:space="preserve">High-ROI plays: computer-vision QC, predictive maintenance, demand/production forecasting, MES/ERP copilots, energy optimisation.</w:t>
      </w:r>
    </w:p>
    <w:p>
      <w:pPr>
        <w:pStyle w:val="ListParagraph"/>
        <w:numPr>
          <w:ilvl w:val="0"/>
          <w:numId w:val="2"/>
        </w:numPr>
        <w:spacing w:after="40" w:line="264"/>
      </w:pPr>
      <w:r>
        <w:t xml:space="preserve">Monthly recurring: vision-model monitoring, dashboard support, forecast retraining (MLOps retainer).</w:t>
      </w:r>
    </w:p>
    <w:p>
      <w:pPr>
        <w:pStyle w:val="ListParagraph"/>
        <w:numPr>
          <w:ilvl w:val="0"/>
          <w:numId w:val="2"/>
        </w:numPr>
        <w:spacing w:after="40" w:line="264"/>
      </w:pPr>
      <w:r>
        <w:t xml:space="preserve">Why now: Industry 4.0 push + cheap edge AI; ROI is hard cost savings, easy to prove on the shop floor.</w:t>
      </w:r>
    </w:p>
    <w:p>
      <w:pPr>
        <w:pStyle w:val="Heading3"/>
      </w:pPr>
      <w:r>
        <w:t xml:space="preserve">Logistics &amp; Supply Chain</w:t>
      </w:r>
    </w:p>
    <w:p>
      <w:pPr>
        <w:pStyle w:val="ListParagraph"/>
        <w:numPr>
          <w:ilvl w:val="0"/>
          <w:numId w:val="2"/>
        </w:numPr>
        <w:spacing w:after="40" w:line="264"/>
      </w:pPr>
      <w:r>
        <w:t xml:space="preserve">Pain: manual routing/coordination, no real-time visibility, document-heavy operations.</w:t>
      </w:r>
    </w:p>
    <w:p>
      <w:pPr>
        <w:pStyle w:val="ListParagraph"/>
        <w:numPr>
          <w:ilvl w:val="0"/>
          <w:numId w:val="2"/>
        </w:numPr>
        <w:spacing w:after="40" w:line="264"/>
      </w:pPr>
      <w:r>
        <w:t xml:space="preserve">High-ROI plays: route/ETA optimisation, control-tower dashboards, shipment-doc automation, demand-inventory ML.</w:t>
      </w:r>
    </w:p>
    <w:p>
      <w:pPr>
        <w:pStyle w:val="ListParagraph"/>
        <w:numPr>
          <w:ilvl w:val="0"/>
          <w:numId w:val="2"/>
        </w:numPr>
        <w:spacing w:after="40" w:line="264"/>
      </w:pPr>
      <w:r>
        <w:t xml:space="preserve">Recurring: managed optimisation + analytics subscription.</w:t>
      </w:r>
    </w:p>
    <w:p>
      <w:pPr>
        <w:pStyle w:val="Heading3"/>
      </w:pPr>
      <w:r>
        <w:t xml:space="preserve">Real Estate &amp; Automotive Dealerships</w:t>
      </w:r>
    </w:p>
    <w:p>
      <w:pPr>
        <w:pStyle w:val="ListParagraph"/>
        <w:numPr>
          <w:ilvl w:val="0"/>
          <w:numId w:val="2"/>
        </w:numPr>
        <w:spacing w:after="40" w:line="264"/>
      </w:pPr>
      <w:r>
        <w:t xml:space="preserve">Pain: leads lost to slow follow-up; repetitive site/service queries; weak CRM hygiene.</w:t>
      </w:r>
    </w:p>
    <w:p>
      <w:pPr>
        <w:pStyle w:val="ListParagraph"/>
        <w:numPr>
          <w:ilvl w:val="0"/>
          <w:numId w:val="2"/>
        </w:numPr>
        <w:spacing w:after="40" w:line="264"/>
      </w:pPr>
      <w:r>
        <w:t xml:space="preserve">High-ROI plays: 24/7 WhatsApp/voice lead-qualification agents, automated follow-up, CRM automation, virtual tours.</w:t>
      </w:r>
    </w:p>
    <w:p>
      <w:pPr>
        <w:pStyle w:val="ListParagraph"/>
        <w:numPr>
          <w:ilvl w:val="0"/>
          <w:numId w:val="2"/>
        </w:numPr>
        <w:spacing w:after="40" w:line="264"/>
      </w:pPr>
      <w:r>
        <w:t xml:space="preserve">Recurring: monthly retainer per location/dealership — highly scalable, productisable.</w:t>
      </w:r>
    </w:p>
    <w:p>
      <w:pPr>
        <w:pStyle w:val="Heading3"/>
      </w:pPr>
      <w:r>
        <w:t xml:space="preserve">Retail / E-commerce / D2C</w:t>
      </w:r>
    </w:p>
    <w:p>
      <w:pPr>
        <w:pStyle w:val="ListParagraph"/>
        <w:numPr>
          <w:ilvl w:val="0"/>
          <w:numId w:val="2"/>
        </w:numPr>
        <w:spacing w:after="40" w:line="264"/>
      </w:pPr>
      <w:r>
        <w:t xml:space="preserve">Pain: support volume spikes, weak personalisation, inventory mismatch, rising ad costs.</w:t>
      </w:r>
    </w:p>
    <w:p>
      <w:pPr>
        <w:pStyle w:val="ListParagraph"/>
        <w:numPr>
          <w:ilvl w:val="0"/>
          <w:numId w:val="2"/>
        </w:numPr>
        <w:spacing w:after="40" w:line="264"/>
      </w:pPr>
      <w:r>
        <w:t xml:space="preserve">High-ROI plays: support/voice AI, recommendation engines, demand forecasting, marketing-content automation.</w:t>
      </w:r>
    </w:p>
    <w:p>
      <w:pPr>
        <w:pStyle w:val="ListParagraph"/>
        <w:numPr>
          <w:ilvl w:val="0"/>
          <w:numId w:val="2"/>
        </w:numPr>
        <w:spacing w:after="40" w:line="264"/>
      </w:pPr>
      <w:r>
        <w:t xml:space="preserve">Recurring: support-bot + marketing-automation retainers; usage-based scaling.</w:t>
      </w:r>
    </w:p>
    <w:p>
      <w:pPr>
        <w:pStyle w:val="Heading3"/>
      </w:pPr>
      <w:r>
        <w:t xml:space="preserve">Export / Import (Gujarat / Surat / Mumbai strength)</w:t>
      </w:r>
    </w:p>
    <w:p>
      <w:pPr>
        <w:pStyle w:val="ListParagraph"/>
        <w:numPr>
          <w:ilvl w:val="0"/>
          <w:numId w:val="2"/>
        </w:numPr>
        <w:spacing w:after="40" w:line="264"/>
      </w:pPr>
      <w:r>
        <w:t xml:space="preserve">Pain: heavy documentation, compliance complexity, multilingual buyer communication, lead generation abroad.</w:t>
      </w:r>
    </w:p>
    <w:p>
      <w:pPr>
        <w:pStyle w:val="ListParagraph"/>
        <w:numPr>
          <w:ilvl w:val="0"/>
          <w:numId w:val="2"/>
        </w:numPr>
        <w:spacing w:after="40" w:line="264"/>
      </w:pPr>
      <w:r>
        <w:t xml:space="preserve">High-ROI plays: trade-document &amp; compliance automation, multilingual lead-gen + comms agents, market analytics.</w:t>
      </w:r>
    </w:p>
    <w:p>
      <w:pPr>
        <w:pStyle w:val="ListParagraph"/>
        <w:numPr>
          <w:ilvl w:val="0"/>
          <w:numId w:val="2"/>
        </w:numPr>
        <w:spacing w:after="40" w:line="264"/>
      </w:pPr>
      <w:r>
        <w:t xml:space="preserve">Recurring: lead-gen retainers + document-automation subscription — a defensible, under-served niche.</w:t>
      </w:r>
    </w:p>
    <w:p>
      <w:pPr>
        <w:pStyle w:val="Heading2"/>
      </w:pPr>
      <w:r>
        <w:t xml:space="preserve">5.3 Future Industry Trends</w:t>
      </w:r>
    </w:p>
    <w:p>
      <w:pPr>
        <w:pStyle w:val="ListParagraph"/>
        <w:numPr>
          <w:ilvl w:val="0"/>
          <w:numId w:val="2"/>
        </w:numPr>
        <w:spacing w:after="40" w:line="264"/>
      </w:pPr>
      <w:r>
        <w:t xml:space="preserve">Vertical AI copilots become standard tools per industry (factory copilot, clinic copilot, dealership copilot).</w:t>
      </w:r>
    </w:p>
    <w:p>
      <w:pPr>
        <w:pStyle w:val="ListParagraph"/>
        <w:numPr>
          <w:ilvl w:val="0"/>
          <w:numId w:val="2"/>
        </w:numPr>
        <w:spacing w:after="40" w:line="264"/>
      </w:pPr>
      <w:r>
        <w:t xml:space="preserve">Computer vision moves from novelty to default QC/safety layer in manufacturing &amp; construction.</w:t>
      </w:r>
    </w:p>
    <w:p>
      <w:pPr>
        <w:pStyle w:val="ListParagraph"/>
        <w:numPr>
          <w:ilvl w:val="0"/>
          <w:numId w:val="2"/>
        </w:numPr>
        <w:spacing w:after="40" w:line="264"/>
      </w:pPr>
      <w:r>
        <w:t xml:space="preserve">Voice AI becomes the front door for high-volume consumer industries (healthcare, real estate, travel, retail).</w:t>
      </w:r>
    </w:p>
    <w:p>
      <w:pPr>
        <w:pStyle w:val="ListParagraph"/>
        <w:numPr>
          <w:ilvl w:val="0"/>
          <w:numId w:val="2"/>
        </w:numPr>
        <w:spacing w:after="40" w:line="264"/>
      </w:pPr>
      <w:r>
        <w:t xml:space="preserve">Regulated industries (BFSI, pharma, healthcare) drive demand for governed, on-prem/private AI.</w:t>
      </w:r>
    </w:p>
    <w:p>
      <w:pPr>
        <w:pStyle w:val="ListParagraph"/>
        <w:numPr>
          <w:ilvl w:val="0"/>
          <w:numId w:val="2"/>
        </w:numPr>
        <w:spacing w:after="40" w:line="264"/>
      </w:pPr>
      <w:r>
        <w:t xml:space="preserve">SMEs adopt productised, subscription AI the way they adopted SaaS — opening volume markets.</w:t>
      </w:r>
    </w:p>
    <w:p>
      <w:pPr>
        <w:spacing w:after="160"/>
      </w:pPr>
      <w:r>
        <w:rPr>
          <w:i/>
          <w:iCs/>
          <w:color w:val="595959"/>
          <w:sz w:val="16"/>
          <w:szCs w:val="16"/>
        </w:rPr>
        <w:t xml:space="preserve">Source: Industry pain-point and ROI mapping synthesised from McKinsey, BCG, NASSCOM sector studies, WEF SME AI Playbook 2025, and practitioner benchmarks. Project values are market-observed estimates. Full citations in References.</w:t>
      </w:r>
    </w:p>
    <w:p>
      <w:pPr>
        <w:pStyle w:val="Heading1"/>
        <w:pageBreakBefore/>
      </w:pPr>
      <w:r>
        <w:t xml:space="preserve">6. Geographical Demand Analysis</w:t>
      </w:r>
    </w:p>
    <w:p>
      <w:pPr>
        <w:spacing w:after="140" w:line="276"/>
      </w:pPr>
      <w:r>
        <w:rPr>
          <w:i/>
          <w:iCs/>
          <w:color w:val="595959"/>
        </w:rPr>
        <w:t xml:space="preserve">Win at home, sell to the world. The optimal strategy for an India-based AI division: build proof and cash flow domestically, then export high-margin remote delivery to the US, UK, UAE and Gulf — where deal sizes are 5–20× larger.</w:t>
      </w:r>
    </w:p>
    <w:p>
      <w:pPr>
        <w:pStyle w:val="Heading2"/>
      </w:pPr>
      <w:r>
        <w:t xml:space="preserve">6.1 Country Attractiveness Ranking</w:t>
      </w:r>
    </w:p>
    <w:p>
      <w:pPr>
        <w:spacing w:after="120" w:line="276"/>
        <w:jc w:val="both"/>
      </w:pPr>
      <w:r>
        <w:t xml:space="preserve">'Readiness' is a composite (0–100) of AI adoption, IT/digital-transformation spend, SME + enterprise demand and ease of remote delivery. The USA leads on spend and deal size; the Gulf (UAE, Saudi) offers fast-moving, less-saturated demand and cultural openness to outsourced delivery; India is the home base — lower deal sizes but unmatched access and the lowest delivery cost.</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00"/>
        <w:gridCol w:w="4760"/>
        <w:gridCol w:w="1900"/>
      </w:tblGrid>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USA</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379"/>
              <w:gridCol w:w="381"/>
            </w:tblGrid>
            <w:tr>
              <w:tc>
                <w:tcPr>
                  <w:tcW w:type="dxa" w:w="4379"/>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381"/>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92</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UAE</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046"/>
              <w:gridCol w:w="714"/>
            </w:tblGrid>
            <w:tr>
              <w:tc>
                <w:tcPr>
                  <w:tcW w:type="dxa" w:w="4046"/>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714"/>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85</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UK</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998"/>
              <w:gridCol w:w="762"/>
            </w:tblGrid>
            <w:tr>
              <w:tc>
                <w:tcPr>
                  <w:tcW w:type="dxa" w:w="3998"/>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762"/>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84</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Saudi Arabia</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903"/>
              <w:gridCol w:w="857"/>
            </w:tblGrid>
            <w:tr>
              <w:tc>
                <w:tcPr>
                  <w:tcW w:type="dxa" w:w="3903"/>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857"/>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82</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Singapore</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808"/>
              <w:gridCol w:w="952"/>
            </w:tblGrid>
            <w:tr>
              <w:tc>
                <w:tcPr>
                  <w:tcW w:type="dxa" w:w="3808"/>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952"/>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80</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Germany</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760"/>
              <w:gridCol w:w="1000"/>
            </w:tblGrid>
            <w:tr>
              <w:tc>
                <w:tcPr>
                  <w:tcW w:type="dxa" w:w="3760"/>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1000"/>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79</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Australia</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713"/>
              <w:gridCol w:w="1047"/>
            </w:tblGrid>
            <w:tr>
              <w:tc>
                <w:tcPr>
                  <w:tcW w:type="dxa" w:w="3713"/>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1047"/>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78</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Canada</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665"/>
              <w:gridCol w:w="1095"/>
            </w:tblGrid>
            <w:tr>
              <w:tc>
                <w:tcPr>
                  <w:tcW w:type="dxa" w:w="3665"/>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1095"/>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77</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Netherlands</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3618"/>
              <w:gridCol w:w="1142"/>
            </w:tblGrid>
            <w:tr>
              <w:tc>
                <w:tcPr>
                  <w:tcW w:type="dxa" w:w="3618"/>
                  <w:tcBorders>
                    <w:top w:val="none" w:color="FFFFFF" w:sz="0"/>
                    <w:left w:val="none" w:color="FFFFFF" w:sz="0"/>
                    <w:bottom w:val="none" w:color="FFFFFF" w:sz="0"/>
                    <w:right w:val="none" w:color="FFFFFF" w:sz="0"/>
                  </w:tcBorders>
                  <w:shd w:fill="2E75B6" w:val="clear"/>
                  <w:tcMar>
                    <w:top w:type="dxa" w:w="30"/>
                    <w:left w:type="dxa" w:w="0"/>
                    <w:bottom w:type="dxa" w:w="30"/>
                    <w:right w:type="dxa" w:w="0"/>
                  </w:tcMar>
                </w:tcPr>
                <w:p>
                  <w:r>
                    <w:rPr>
                      <w:sz w:val="14"/>
                      <w:szCs w:val="14"/>
                    </w:rPr>
                    <w:t xml:space="preserve"/>
                  </w:r>
                </w:p>
              </w:tc>
              <w:tc>
                <w:tcPr>
                  <w:tcW w:type="dxa" w:w="1142"/>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76</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India</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2951"/>
              <w:gridCol w:w="1809"/>
            </w:tblGrid>
            <w:tr>
              <w:tc>
                <w:tcPr>
                  <w:tcW w:type="dxa" w:w="2951"/>
                  <w:tcBorders>
                    <w:top w:val="none" w:color="FFFFFF" w:sz="0"/>
                    <w:left w:val="none" w:color="FFFFFF" w:sz="0"/>
                    <w:bottom w:val="none" w:color="FFFFFF" w:sz="0"/>
                    <w:right w:val="none" w:color="FFFFFF" w:sz="0"/>
                  </w:tcBorders>
                  <w:shd w:fill="BF8F00" w:val="clear"/>
                  <w:tcMar>
                    <w:top w:type="dxa" w:w="30"/>
                    <w:left w:type="dxa" w:w="0"/>
                    <w:bottom w:type="dxa" w:w="30"/>
                    <w:right w:type="dxa" w:w="0"/>
                  </w:tcMar>
                </w:tcPr>
                <w:p>
                  <w:r>
                    <w:rPr>
                      <w:sz w:val="14"/>
                      <w:szCs w:val="14"/>
                    </w:rPr>
                    <w:t xml:space="preserve"/>
                  </w:r>
                </w:p>
              </w:tc>
              <w:tc>
                <w:tcPr>
                  <w:tcW w:type="dxa" w:w="1809"/>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62 (home)</w:t>
            </w:r>
          </w:p>
        </w:tc>
      </w:tr>
    </w:tbl>
    <w:p>
      <w:pPr>
        <w:spacing w:after="160" w:before="40"/>
      </w:pPr>
      <w:r>
        <w:rPr>
          <w:i/>
          <w:iCs/>
          <w:color w:val="595959"/>
          <w:sz w:val="16"/>
          <w:szCs w:val="16"/>
        </w:rPr>
        <w:t xml:space="preserve">Figure 7. Composite market-readiness score by target country (analyst composite).</w:t>
      </w:r>
    </w:p>
    <w:p>
      <w:pPr>
        <w:pStyle w:val="Heading2"/>
      </w:pPr>
      <w:r>
        <w:t xml:space="preserve">6.2 Country Demand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1150"/>
        <w:gridCol w:w="1700"/>
        <w:gridCol w:w="1700"/>
        <w:gridCol w:w="1650"/>
        <w:gridCol w:w="1810"/>
      </w:tblGrid>
      <w:tr>
        <w:trPr>
          <w:tblHeader/>
        </w:trPr>
        <w:tc>
          <w:tcPr>
            <w:tcW w:type="dxa" w:w="13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Country</w:t>
            </w:r>
          </w:p>
        </w:tc>
        <w:tc>
          <w:tcPr>
            <w:tcW w:type="dxa" w:w="11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Readiness*</w:t>
            </w:r>
          </w:p>
        </w:tc>
        <w:tc>
          <w:tcPr>
            <w:tcW w:type="dxa" w:w="1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Avg deal size</w:t>
            </w:r>
          </w:p>
        </w:tc>
        <w:tc>
          <w:tcPr>
            <w:tcW w:type="dxa" w:w="1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Competition</w:t>
            </w:r>
          </w:p>
        </w:tc>
        <w:tc>
          <w:tcPr>
            <w:tcW w:type="dxa" w:w="16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Remote ease</w:t>
            </w:r>
          </w:p>
        </w:tc>
        <w:tc>
          <w:tcPr>
            <w:tcW w:type="dxa" w:w="181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Best industries to target</w:t>
            </w:r>
          </w:p>
        </w:tc>
      </w:tr>
      <w:tr>
        <w:trPr>
          <w:tblHeader w:val="false"/>
        </w:trPr>
        <w:tc>
          <w:tcPr>
            <w:tcW w:type="dxa" w:w="13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USA</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92</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$50–250k</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Very High</w:t>
            </w:r>
          </w:p>
        </w:tc>
        <w:tc>
          <w:tcPr>
            <w:tcW w:type="dxa" w:w="1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Med (remote OK)</w:t>
            </w:r>
          </w:p>
        </w:tc>
        <w:tc>
          <w:tcPr>
            <w:tcW w:type="dxa" w:w="18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Healthcare, BFSI, SaaS, retail, real estate</w:t>
            </w:r>
          </w:p>
        </w:tc>
      </w:tr>
      <w:tr>
        <w:trPr>
          <w:tblHeader w:val="false"/>
        </w:trPr>
        <w:tc>
          <w:tcPr>
            <w:tcW w:type="dxa" w:w="13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UAE</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85</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$20–120k</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1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18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Real estate, retail, govt, logistics, hospitality</w:t>
            </w:r>
          </w:p>
        </w:tc>
      </w:tr>
      <w:tr>
        <w:trPr>
          <w:tblHeader w:val="false"/>
        </w:trPr>
        <w:tc>
          <w:tcPr>
            <w:tcW w:type="dxa" w:w="13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UK</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84</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$25–150k</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1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Med-High</w:t>
            </w:r>
          </w:p>
        </w:tc>
        <w:tc>
          <w:tcPr>
            <w:tcW w:type="dxa" w:w="18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BFSI, professional services, retail, healthcare</w:t>
            </w:r>
          </w:p>
        </w:tc>
      </w:tr>
      <w:tr>
        <w:trPr>
          <w:tblHeader w:val="false"/>
        </w:trPr>
        <w:tc>
          <w:tcPr>
            <w:tcW w:type="dxa" w:w="13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Saudi Arabia</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82</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$30–200k</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1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Med-High</w:t>
            </w:r>
          </w:p>
        </w:tc>
        <w:tc>
          <w:tcPr>
            <w:tcW w:type="dxa" w:w="18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Govt (Vision 2030), energy, construction, retail</w:t>
            </w:r>
          </w:p>
        </w:tc>
      </w:tr>
      <w:tr>
        <w:trPr>
          <w:tblHeader w:val="false"/>
        </w:trPr>
        <w:tc>
          <w:tcPr>
            <w:tcW w:type="dxa" w:w="13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Singapore</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80</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$25–150k</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1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18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BFSI, logistics, trade, SaaS</w:t>
            </w:r>
          </w:p>
        </w:tc>
      </w:tr>
      <w:tr>
        <w:trPr>
          <w:tblHeader w:val="false"/>
        </w:trPr>
        <w:tc>
          <w:tcPr>
            <w:tcW w:type="dxa" w:w="13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Germany</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79</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$30–180k</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1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18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Manufacturing, automotive, logistics, Mittelstand</w:t>
            </w:r>
          </w:p>
        </w:tc>
      </w:tr>
      <w:tr>
        <w:trPr>
          <w:tblHeader w:val="false"/>
        </w:trPr>
        <w:tc>
          <w:tcPr>
            <w:tcW w:type="dxa" w:w="13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Australia</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78</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$25–140k</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1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18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Retail, healthcare, mining, real estate</w:t>
            </w:r>
          </w:p>
        </w:tc>
      </w:tr>
      <w:tr>
        <w:trPr>
          <w:tblHeader w:val="false"/>
        </w:trPr>
        <w:tc>
          <w:tcPr>
            <w:tcW w:type="dxa" w:w="13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Canada</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77</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$25–140k</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1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18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BFSI, retail, healthcare, SaaS</w:t>
            </w:r>
          </w:p>
        </w:tc>
      </w:tr>
      <w:tr>
        <w:trPr>
          <w:tblHeader w:val="false"/>
        </w:trPr>
        <w:tc>
          <w:tcPr>
            <w:tcW w:type="dxa" w:w="13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4"/>
                <w:szCs w:val="14"/>
              </w:rPr>
              <w:t xml:space="preserve">Netherlands</w:t>
            </w:r>
          </w:p>
        </w:tc>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4"/>
                <w:szCs w:val="14"/>
              </w:rPr>
              <w:t xml:space="preserve">76</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$25–150k</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Med</w:t>
            </w:r>
          </w:p>
        </w:tc>
        <w:tc>
          <w:tcPr>
            <w:tcW w:type="dxa" w:w="1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High</w:t>
            </w:r>
          </w:p>
        </w:tc>
        <w:tc>
          <w:tcPr>
            <w:tcW w:type="dxa" w:w="18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Logistics, agritech, BFSI, retail</w:t>
            </w:r>
          </w:p>
        </w:tc>
      </w:tr>
      <w:tr>
        <w:trPr>
          <w:tblHeader w:val="false"/>
        </w:trPr>
        <w:tc>
          <w:tcPr>
            <w:tcW w:type="dxa" w:w="13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4"/>
                <w:szCs w:val="14"/>
              </w:rPr>
              <w:t xml:space="preserve">India</w:t>
            </w:r>
          </w:p>
        </w:tc>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4"/>
                <w:szCs w:val="14"/>
              </w:rPr>
              <w:t xml:space="preserve">62</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$2–60k</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Med (fragmented)</w:t>
            </w:r>
          </w:p>
        </w:tc>
        <w:tc>
          <w:tcPr>
            <w:tcW w:type="dxa" w:w="1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Very High (home)</w:t>
            </w:r>
          </w:p>
        </w:tc>
        <w:tc>
          <w:tcPr>
            <w:tcW w:type="dxa" w:w="18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Mfg, exports, retail, real estate, healthcare, SME</w:t>
            </w:r>
          </w:p>
        </w:tc>
      </w:tr>
    </w:tbl>
    <w:p>
      <w:pPr>
        <w:spacing w:after="160" w:before="40"/>
      </w:pPr>
      <w:r>
        <w:rPr>
          <w:i/>
          <w:iCs/>
          <w:color w:val="595959"/>
          <w:sz w:val="16"/>
          <w:szCs w:val="16"/>
        </w:rPr>
        <w:t xml:space="preserve">Figure 8. *Readiness = composite of AI adoption, IT spend, SME + enterprise demand, remote-delivery ease.</w:t>
      </w:r>
    </w:p>
    <w:p>
      <w:pPr>
        <w:pStyle w:val="Heading2"/>
      </w:pPr>
      <w:r>
        <w:t xml:space="preserve">6.3 Entry Strategy by Geography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Market</w:t>
            </w:r>
          </w:p>
        </w:tc>
        <w:tc>
          <w:tcPr>
            <w:tcW w:type="dxa" w:w="76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Recommended entry approach</w:t>
            </w:r>
          </w:p>
        </w:tc>
      </w:tr>
      <w:tr>
        <w:trPr>
          <w:tblHeader w:val="false"/>
        </w:trPr>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India (home)</w:t>
            </w:r>
          </w:p>
        </w:tc>
        <w:tc>
          <w:tcPr>
            <w:tcW w:type="dxa" w:w="7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Land first clients here for proof, cash flow and case studies. Target Gujarat manufacturing/exports/SME + metro mid-market. In-person + WhatsApp + referrals.</w:t>
            </w:r>
          </w:p>
        </w:tc>
      </w:tr>
      <w:tr>
        <w:trPr>
          <w:tblHeader w:val="false"/>
        </w:trPr>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UAE / Gulf</w:t>
            </w:r>
          </w:p>
        </w:tc>
        <w:tc>
          <w:tcPr>
            <w:tcW w:type="dxa" w:w="7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Highest-ROI export market: large deals, fast decisions, open to remote/offshore. Use LinkedIn, partnerships, occasional on-site. Vision-2030 (KSA) public + retail spend.</w:t>
            </w:r>
          </w:p>
        </w:tc>
      </w:tr>
      <w:tr>
        <w:trPr>
          <w:tblHeader w:val="false"/>
        </w:trPr>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USA</w:t>
            </w:r>
          </w:p>
        </w:tc>
        <w:tc>
          <w:tcPr>
            <w:tcW w:type="dxa" w:w="7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Largest deals; win via niche positioning + cold email/LinkedIn + productised offers. Time-zone overlap manageable; price 5–20× India.</w:t>
            </w:r>
          </w:p>
        </w:tc>
      </w:tr>
      <w:tr>
        <w:trPr>
          <w:tblHeader w:val="false"/>
        </w:trPr>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UK / Canada / Australia</w:t>
            </w:r>
          </w:p>
        </w:tc>
        <w:tc>
          <w:tcPr>
            <w:tcW w:type="dxa" w:w="7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English-language, remote-friendly mid-market. Cold outbound + content + referrals.</w:t>
            </w:r>
          </w:p>
        </w:tc>
      </w:tr>
      <w:tr>
        <w:trPr>
          <w:tblHeader w:val="false"/>
        </w:trPr>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Germany / Netherlands / Singapore</w:t>
            </w:r>
          </w:p>
        </w:tc>
        <w:tc>
          <w:tcPr>
            <w:tcW w:type="dxa" w:w="7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Manufacturing/logistics/BFSI; partner- and referral-led; localisation and trust matter more.</w:t>
            </w:r>
          </w:p>
        </w:tc>
      </w:tr>
    </w:tbl>
    <w:p>
      <w:pPr>
        <w:pStyle w:val="Heading2"/>
      </w:pPr>
      <w:r>
        <w:t xml:space="preserve">6.4 B2B Outreach Strategy by Region</w:t>
      </w:r>
    </w:p>
    <w:p>
      <w:pPr>
        <w:pStyle w:val="ListParagraph"/>
        <w:numPr>
          <w:ilvl w:val="0"/>
          <w:numId w:val="2"/>
        </w:numPr>
        <w:spacing w:after="40" w:line="264"/>
      </w:pPr>
      <w:r>
        <w:rPr>
          <w:b/>
          <w:bCs/>
        </w:rPr>
        <w:t xml:space="preserve">India: </w:t>
      </w:r>
      <w:r>
        <w:t xml:space="preserve">WhatsApp + phone + in-person + referrals + local business networks (industry associations, GIDC clusters, export councils).</w:t>
      </w:r>
    </w:p>
    <w:p>
      <w:pPr>
        <w:pStyle w:val="ListParagraph"/>
        <w:numPr>
          <w:ilvl w:val="0"/>
          <w:numId w:val="2"/>
        </w:numPr>
        <w:spacing w:after="40" w:line="264"/>
      </w:pPr>
      <w:r>
        <w:rPr>
          <w:b/>
          <w:bCs/>
        </w:rPr>
        <w:t xml:space="preserve">Gulf: </w:t>
      </w:r>
      <w:r>
        <w:t xml:space="preserve">LinkedIn + warm intros + local partner/reseller + occasional on-site demos; relationship-led.</w:t>
      </w:r>
    </w:p>
    <w:p>
      <w:pPr>
        <w:pStyle w:val="ListParagraph"/>
        <w:numPr>
          <w:ilvl w:val="0"/>
          <w:numId w:val="2"/>
        </w:numPr>
        <w:spacing w:after="40" w:line="264"/>
      </w:pPr>
      <w:r>
        <w:rPr>
          <w:b/>
          <w:bCs/>
        </w:rPr>
        <w:t xml:space="preserve">USA/UK/AU/CA: </w:t>
      </w:r>
      <w:r>
        <w:t xml:space="preserve">Cold email + LinkedIn + niche content + targeted AI demos; productised, outcome-led offers.</w:t>
      </w:r>
    </w:p>
    <w:p>
      <w:pPr>
        <w:pStyle w:val="ListParagraph"/>
        <w:numPr>
          <w:ilvl w:val="0"/>
          <w:numId w:val="2"/>
        </w:numPr>
        <w:spacing w:after="40" w:line="264"/>
      </w:pPr>
      <w:r>
        <w:rPr>
          <w:b/>
          <w:bCs/>
        </w:rPr>
        <w:t xml:space="preserve">EU/SG: </w:t>
      </w:r>
      <w:r>
        <w:t xml:space="preserve">Partnerships, marketplaces (hyperscaler/ISV), and referrals; compliance and data-residency messaging.</w:t>
      </w:r>
    </w:p>
    <w:p>
      <w:pPr>
        <w:pStyle w:val="Heading2"/>
      </w:pPr>
      <w:r>
        <w:t xml:space="preserve">6.5 Recommended Geographic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Geo roadmap</w:t>
            </w:r>
          </w:p>
          <w:p>
            <w:pPr>
              <w:spacing w:after="40"/>
            </w:pPr>
            <w:r>
              <w:rPr>
                <w:sz w:val="18"/>
                <w:szCs w:val="18"/>
              </w:rPr>
              <w:t xml:space="preserve">Phase 1 (0–6 mo): India home market — Gujarat + metros. Build 5–10 reference clients.</w:t>
            </w:r>
          </w:p>
          <w:p>
            <w:pPr>
              <w:spacing w:after="40"/>
            </w:pPr>
            <w:r>
              <w:rPr>
                <w:sz w:val="18"/>
                <w:szCs w:val="18"/>
              </w:rPr>
              <w:t xml:space="preserve">Phase 2 (6–12 mo): UAE/Gulf remote delivery for larger margins + 1–2 anchor logos.</w:t>
            </w:r>
          </w:p>
          <w:p>
            <w:pPr>
              <w:spacing w:after="40"/>
            </w:pPr>
            <w:r>
              <w:rPr>
                <w:sz w:val="18"/>
                <w:szCs w:val="18"/>
              </w:rPr>
              <w:t xml:space="preserve">Phase 3 (12–24 mo): USA/UK productised offers via outbound + content once case studies exist.</w:t>
            </w:r>
          </w:p>
          <w:p>
            <w:pPr>
              <w:spacing w:after="40"/>
            </w:pPr>
            <w:r>
              <w:rPr>
                <w:sz w:val="18"/>
                <w:szCs w:val="18"/>
              </w:rPr>
              <w:t xml:space="preserve">Always-on: remote-first delivery keeps delivery cost low and margins high across all geos.</w:t>
            </w:r>
          </w:p>
        </w:tc>
      </w:tr>
    </w:tbl>
    <w:p>
      <w:pPr>
        <w:spacing w:after="160"/>
      </w:pPr>
      <w:r>
        <w:rPr>
          <w:i/>
          <w:iCs/>
          <w:color w:val="595959"/>
          <w:sz w:val="16"/>
          <w:szCs w:val="16"/>
        </w:rPr>
        <w:t xml:space="preserve">Source: Composite of Gartner IT-spend forecasts, IDC, Statista country AI-adoption data, NASSCOM export data, and Gulf Vision-2030 programmes (2024–2026). Deal sizes are market-observed. Full citations in References.</w:t>
      </w:r>
    </w:p>
    <w:p>
      <w:pPr>
        <w:pStyle w:val="Heading1"/>
        <w:pageBreakBefore/>
      </w:pPr>
      <w:r>
        <w:t xml:space="preserve">7. Customer Persona Analysis</w:t>
      </w:r>
    </w:p>
    <w:p>
      <w:pPr>
        <w:spacing w:after="140" w:line="276"/>
      </w:pPr>
      <w:r>
        <w:rPr>
          <w:i/>
          <w:iCs/>
          <w:color w:val="595959"/>
        </w:rPr>
        <w:t xml:space="preserve">Sell to the owner who feels the pain and controls the budget. For a new division, the SME/mid-market owner-operator and the manufacturing/export business owner are the fastest 'yes' — short cycles, clear ROI, direct decision-makers.</w:t>
      </w:r>
    </w:p>
    <w:p>
      <w:pPr>
        <w:pStyle w:val="Heading2"/>
      </w:pPr>
      <w:r>
        <w:t xml:space="preserve">7.1 Persona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1700"/>
        <w:gridCol w:w="1050"/>
        <w:gridCol w:w="1450"/>
        <w:gridCol w:w="1050"/>
        <w:gridCol w:w="1600"/>
        <w:gridCol w:w="1260"/>
      </w:tblGrid>
      <w:tr>
        <w:trPr>
          <w:tblHeader/>
        </w:trPr>
        <w:tc>
          <w:tcPr>
            <w:tcW w:type="dxa" w:w="12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3"/>
                <w:szCs w:val="13"/>
              </w:rPr>
              <w:t xml:space="preserve">Persona</w:t>
            </w:r>
          </w:p>
        </w:tc>
        <w:tc>
          <w:tcPr>
            <w:tcW w:type="dxa" w:w="1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3"/>
                <w:szCs w:val="13"/>
              </w:rPr>
              <w:t xml:space="preserve">Pain points</w:t>
            </w:r>
          </w:p>
        </w:tc>
        <w:tc>
          <w:tcPr>
            <w:tcW w:type="dxa" w:w="10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3"/>
                <w:szCs w:val="13"/>
              </w:rPr>
              <w:t xml:space="preserve">Budget</w:t>
            </w:r>
          </w:p>
        </w:tc>
        <w:tc>
          <w:tcPr>
            <w:tcW w:type="dxa" w:w="14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3"/>
                <w:szCs w:val="13"/>
              </w:rPr>
              <w:t xml:space="preserve">Decision-maker</w:t>
            </w:r>
          </w:p>
        </w:tc>
        <w:tc>
          <w:tcPr>
            <w:tcW w:type="dxa" w:w="10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3"/>
                <w:szCs w:val="13"/>
              </w:rPr>
              <w:t xml:space="preserve">Sales cycle</w:t>
            </w:r>
          </w:p>
        </w:tc>
        <w:tc>
          <w:tcPr>
            <w:tcW w:type="dxa" w:w="16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3"/>
                <w:szCs w:val="13"/>
              </w:rPr>
              <w:t xml:space="preserve">Buying trigger</w:t>
            </w:r>
          </w:p>
        </w:tc>
        <w:tc>
          <w:tcPr>
            <w:tcW w:type="dxa" w:w="12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3"/>
                <w:szCs w:val="13"/>
              </w:rPr>
              <w:t xml:space="preserve">Best channel</w:t>
            </w:r>
          </w:p>
        </w:tc>
      </w:tr>
      <w:tr>
        <w:trPr>
          <w:tblHeader w:val="false"/>
        </w:trPr>
        <w:tc>
          <w:tcPr>
            <w:tcW w:type="dxa" w:w="12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3"/>
                <w:szCs w:val="13"/>
              </w:rPr>
              <w:t xml:space="preserve">Startups</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No process, scaling chaos, limited cash</w:t>
            </w:r>
          </w:p>
        </w:tc>
        <w:tc>
          <w:tcPr>
            <w:tcW w:type="dxa" w:w="1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$500–10k</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Founder</w:t>
            </w:r>
          </w:p>
        </w:tc>
        <w:tc>
          <w:tcPr>
            <w:tcW w:type="dxa" w:w="1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1–3 wks</w:t>
            </w:r>
          </w:p>
        </w:tc>
        <w:tc>
          <w:tcPr>
            <w:tcW w:type="dxa" w:w="1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Need to scale without hiring</w:t>
            </w:r>
          </w:p>
        </w:tc>
        <w:tc>
          <w:tcPr>
            <w:tcW w:type="dxa" w:w="12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Founder networks, Twitter/LinkedIn, communities</w:t>
            </w:r>
          </w:p>
        </w:tc>
      </w:tr>
      <w:tr>
        <w:trPr>
          <w:tblHeader w:val="false"/>
        </w:trPr>
        <w:tc>
          <w:tcPr>
            <w:tcW w:type="dxa" w:w="12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3"/>
                <w:szCs w:val="13"/>
              </w:rPr>
              <w:t xml:space="preserve">SMEs / MSMEs</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Manual ops, owner-dependent, thin margins</w:t>
            </w:r>
          </w:p>
        </w:tc>
        <w:tc>
          <w:tcPr>
            <w:tcW w:type="dxa" w:w="10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$1–15k</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Owner / MD</w:t>
            </w:r>
          </w:p>
        </w:tc>
        <w:tc>
          <w:tcPr>
            <w:tcW w:type="dxa" w:w="10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1–4 wks</w:t>
            </w:r>
          </w:p>
        </w:tc>
        <w:tc>
          <w:tcPr>
            <w:tcW w:type="dxa" w:w="1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Cost pain, competitor uses AI, growth stall</w:t>
            </w:r>
          </w:p>
        </w:tc>
        <w:tc>
          <w:tcPr>
            <w:tcW w:type="dxa" w:w="12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WhatsApp, referrals, in-person, local networks</w:t>
            </w:r>
          </w:p>
        </w:tc>
      </w:tr>
      <w:tr>
        <w:trPr>
          <w:tblHeader w:val="false"/>
        </w:trPr>
        <w:tc>
          <w:tcPr>
            <w:tcW w:type="dxa" w:w="12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3"/>
                <w:szCs w:val="13"/>
              </w:rPr>
              <w:t xml:space="preserve">Mid-size firms</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Silos, legacy systems, scaling pains</w:t>
            </w:r>
          </w:p>
        </w:tc>
        <w:tc>
          <w:tcPr>
            <w:tcW w:type="dxa" w:w="1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$10–80k</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CXO / Function head</w:t>
            </w:r>
          </w:p>
        </w:tc>
        <w:tc>
          <w:tcPr>
            <w:tcW w:type="dxa" w:w="1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1–3 mo</w:t>
            </w:r>
          </w:p>
        </w:tc>
        <w:tc>
          <w:tcPr>
            <w:tcW w:type="dxa" w:w="1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Efficiency mandate, board pressure</w:t>
            </w:r>
          </w:p>
        </w:tc>
        <w:tc>
          <w:tcPr>
            <w:tcW w:type="dxa" w:w="12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LinkedIn, case studies, referrals, events</w:t>
            </w:r>
          </w:p>
        </w:tc>
      </w:tr>
      <w:tr>
        <w:trPr>
          <w:tblHeader w:val="false"/>
        </w:trPr>
        <w:tc>
          <w:tcPr>
            <w:tcW w:type="dxa" w:w="12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3"/>
                <w:szCs w:val="13"/>
              </w:rPr>
              <w:t xml:space="preserve">Enterprises</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Bureaucracy, governance, legacy</w:t>
            </w:r>
          </w:p>
        </w:tc>
        <w:tc>
          <w:tcPr>
            <w:tcW w:type="dxa" w:w="10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$50–500k+</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CIO/CDO + procurement</w:t>
            </w:r>
          </w:p>
        </w:tc>
        <w:tc>
          <w:tcPr>
            <w:tcW w:type="dxa" w:w="10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3–9 mo</w:t>
            </w:r>
          </w:p>
        </w:tc>
        <w:tc>
          <w:tcPr>
            <w:tcW w:type="dxa" w:w="1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Strategic AI mandate, competitive risk</w:t>
            </w:r>
          </w:p>
        </w:tc>
        <w:tc>
          <w:tcPr>
            <w:tcW w:type="dxa" w:w="12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Partnerships, RFPs, thought leadership</w:t>
            </w:r>
          </w:p>
        </w:tc>
      </w:tr>
      <w:tr>
        <w:trPr>
          <w:tblHeader w:val="false"/>
        </w:trPr>
        <w:tc>
          <w:tcPr>
            <w:tcW w:type="dxa" w:w="12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3"/>
                <w:szCs w:val="13"/>
              </w:rPr>
              <w:t xml:space="preserve">Factories / Mfg</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Downtime, QC, paper logs</w:t>
            </w:r>
          </w:p>
        </w:tc>
        <w:tc>
          <w:tcPr>
            <w:tcW w:type="dxa" w:w="1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$10–150k</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Plant head / Owner</w:t>
            </w:r>
          </w:p>
        </w:tc>
        <w:tc>
          <w:tcPr>
            <w:tcW w:type="dxa" w:w="1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1–3 mo</w:t>
            </w:r>
          </w:p>
        </w:tc>
        <w:tc>
          <w:tcPr>
            <w:tcW w:type="dxa" w:w="1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Quality/cost pressure, exports</w:t>
            </w:r>
          </w:p>
        </w:tc>
        <w:tc>
          <w:tcPr>
            <w:tcW w:type="dxa" w:w="12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In-person, industry assoc., referrals</w:t>
            </w:r>
          </w:p>
        </w:tc>
      </w:tr>
      <w:tr>
        <w:trPr>
          <w:tblHeader w:val="false"/>
        </w:trPr>
        <w:tc>
          <w:tcPr>
            <w:tcW w:type="dxa" w:w="12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b/>
                <w:bCs/>
                <w:color w:val="000000"/>
                <w:sz w:val="13"/>
                <w:szCs w:val="13"/>
              </w:rPr>
              <w:t xml:space="preserve">Exporters</w:t>
            </w:r>
          </w:p>
        </w:tc>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Docs, compliance, foreign leads</w:t>
            </w:r>
          </w:p>
        </w:tc>
        <w:tc>
          <w:tcPr>
            <w:tcW w:type="dxa" w:w="10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$3–60k</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Owner / Export head</w:t>
            </w:r>
          </w:p>
        </w:tc>
        <w:tc>
          <w:tcPr>
            <w:tcW w:type="dxa" w:w="10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2–6 wks</w:t>
            </w:r>
          </w:p>
        </w:tc>
        <w:tc>
          <w:tcPr>
            <w:tcW w:type="dxa" w:w="1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Order growth, compliance load</w:t>
            </w:r>
          </w:p>
        </w:tc>
        <w:tc>
          <w:tcPr>
            <w:tcW w:type="dxa" w:w="12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3"/>
                <w:szCs w:val="13"/>
              </w:rPr>
              <w:t xml:space="preserve">Export councils, WhatsApp, LinkedIn, referrals</w:t>
            </w:r>
          </w:p>
        </w:tc>
      </w:tr>
      <w:tr>
        <w:trPr>
          <w:tblHeader w:val="false"/>
        </w:trPr>
        <w:tc>
          <w:tcPr>
            <w:tcW w:type="dxa" w:w="12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b/>
                <w:bCs/>
                <w:color w:val="000000"/>
                <w:sz w:val="13"/>
                <w:szCs w:val="13"/>
              </w:rPr>
              <w:t xml:space="preserve">E-commerce / D2C</w:t>
            </w:r>
          </w:p>
        </w:tc>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Support volume, ads cost, inventory</w:t>
            </w:r>
          </w:p>
        </w:tc>
        <w:tc>
          <w:tcPr>
            <w:tcW w:type="dxa" w:w="1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$2–40k</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Founder / Marketing head</w:t>
            </w:r>
          </w:p>
        </w:tc>
        <w:tc>
          <w:tcPr>
            <w:tcW w:type="dxa" w:w="10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1–4 wks</w:t>
            </w:r>
          </w:p>
        </w:tc>
        <w:tc>
          <w:tcPr>
            <w:tcW w:type="dxa" w:w="1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Margin pressure, scale</w:t>
            </w:r>
          </w:p>
        </w:tc>
        <w:tc>
          <w:tcPr>
            <w:tcW w:type="dxa" w:w="12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3"/>
                <w:szCs w:val="13"/>
              </w:rPr>
              <w:t xml:space="preserve">LinkedIn, communities, content, ads</w:t>
            </w:r>
          </w:p>
        </w:tc>
      </w:tr>
    </w:tbl>
    <w:p>
      <w:pPr>
        <w:spacing w:after="160" w:before="40"/>
      </w:pPr>
      <w:r>
        <w:rPr>
          <w:i/>
          <w:iCs/>
          <w:color w:val="595959"/>
          <w:sz w:val="16"/>
          <w:szCs w:val="16"/>
        </w:rPr>
        <w:t xml:space="preserve">Figure 9. Customer persona matrix — budgets in USD per engagement.</w:t>
      </w:r>
    </w:p>
    <w:p>
      <w:pPr>
        <w:pStyle w:val="Heading2"/>
      </w:pPr>
      <w:r>
        <w:t xml:space="preserve">7.2 Priority Personas for a New Entrant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Best first customers</w:t>
            </w:r>
          </w:p>
          <w:p>
            <w:pPr>
              <w:spacing w:after="40"/>
            </w:pPr>
            <w:r>
              <w:rPr>
                <w:sz w:val="18"/>
                <w:szCs w:val="18"/>
              </w:rPr>
              <w:t xml:space="preserve">SME / MSME owners — feel pain daily, decide fast, pay for clear ROI. Reach via WhatsApp, referrals, in-person.</w:t>
            </w:r>
          </w:p>
          <w:p>
            <w:pPr>
              <w:spacing w:after="40"/>
            </w:pPr>
            <w:r>
              <w:rPr>
                <w:sz w:val="18"/>
                <w:szCs w:val="18"/>
              </w:rPr>
              <w:t xml:space="preserve">Manufacturing &amp; export business owners (Gujarat core) — budget + acute, specific pain (QC, docs, leads).</w:t>
            </w:r>
          </w:p>
          <w:p>
            <w:pPr>
              <w:spacing w:after="40"/>
            </w:pPr>
            <w:r>
              <w:rPr>
                <w:sz w:val="18"/>
                <w:szCs w:val="18"/>
              </w:rPr>
              <w:t xml:space="preserve">E-commerce / D2C founders — tech-comfortable, fast cycles, recurring marketing/support needs.</w:t>
            </w:r>
          </w:p>
          <w:p>
            <w:pPr>
              <w:spacing w:after="40"/>
            </w:pPr>
            <w:r>
              <w:rPr>
                <w:sz w:val="18"/>
                <w:szCs w:val="18"/>
              </w:rPr>
              <w:t xml:space="preserve">Avoid (at first): large enterprises — long cycles, procurement, references required you don't yet have.</w:t>
            </w:r>
          </w:p>
        </w:tc>
      </w:tr>
    </w:tbl>
    <w:p>
      <w:pPr>
        <w:pStyle w:val="Heading2"/>
      </w:pPr>
      <w:r>
        <w:t xml:space="preserve">7.3 Buying Triggers to Listen For</w:t>
      </w:r>
    </w:p>
    <w:p>
      <w:pPr>
        <w:pStyle w:val="ListParagraph"/>
        <w:numPr>
          <w:ilvl w:val="0"/>
          <w:numId w:val="2"/>
        </w:numPr>
        <w:spacing w:after="40" w:line="264"/>
      </w:pPr>
      <w:r>
        <w:t xml:space="preserve">"My team can't keep up / I can't find or afford staff" → automation pitch.</w:t>
      </w:r>
    </w:p>
    <w:p>
      <w:pPr>
        <w:pStyle w:val="ListParagraph"/>
        <w:numPr>
          <w:ilvl w:val="0"/>
          <w:numId w:val="2"/>
        </w:numPr>
        <w:spacing w:after="40" w:line="264"/>
      </w:pPr>
      <w:r>
        <w:t xml:space="preserve">"A competitor is using AI / we're falling behind" → FOMO; lead with a demo.</w:t>
      </w:r>
    </w:p>
    <w:p>
      <w:pPr>
        <w:pStyle w:val="ListParagraph"/>
        <w:numPr>
          <w:ilvl w:val="0"/>
          <w:numId w:val="2"/>
        </w:numPr>
        <w:spacing w:after="40" w:line="264"/>
      </w:pPr>
      <w:r>
        <w:t xml:space="preserve">"We're losing leads / support is overwhelmed" → chatbot/voice + lead-automation.</w:t>
      </w:r>
    </w:p>
    <w:p>
      <w:pPr>
        <w:pStyle w:val="ListParagraph"/>
        <w:numPr>
          <w:ilvl w:val="0"/>
          <w:numId w:val="2"/>
        </w:numPr>
        <w:spacing w:after="40" w:line="264"/>
      </w:pPr>
      <w:r>
        <w:t xml:space="preserve">"Too much manual paperwork / Excel hell" → workflow + document automation.</w:t>
      </w:r>
    </w:p>
    <w:p>
      <w:pPr>
        <w:pStyle w:val="ListParagraph"/>
        <w:numPr>
          <w:ilvl w:val="0"/>
          <w:numId w:val="2"/>
        </w:numPr>
        <w:spacing w:after="40" w:line="264"/>
      </w:pPr>
      <w:r>
        <w:t xml:space="preserve">"We have data but no insight" → analytics/BI dashboards.</w:t>
      </w:r>
    </w:p>
    <w:p>
      <w:pPr>
        <w:pStyle w:val="Heading2"/>
      </w:pPr>
      <w:r>
        <w:t xml:space="preserve">7.4 Most Effective Sales Method by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Persona</w:t>
            </w:r>
          </w:p>
        </w:tc>
        <w:tc>
          <w:tcPr>
            <w:tcW w:type="dxa" w:w="71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What actually closes them</w:t>
            </w:r>
          </w:p>
        </w:tc>
      </w:tr>
      <w:tr>
        <w:trPr>
          <w:tblHeader w:val="false"/>
        </w:trPr>
        <w:tc>
          <w:tcPr>
            <w:tcW w:type="dxa" w:w="22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SME / MSME owner</w:t>
            </w:r>
          </w:p>
        </w:tc>
        <w:tc>
          <w:tcPr>
            <w:tcW w:type="dxa" w:w="71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Live WhatsApp/voice demo on THEIR use case + ROI in rupees + a small paid pilot.</w:t>
            </w:r>
          </w:p>
        </w:tc>
      </w:tr>
      <w:tr>
        <w:trPr>
          <w:tblHeader w:val="false"/>
        </w:trPr>
        <w:tc>
          <w:tcPr>
            <w:tcW w:type="dxa" w:w="22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Mfg / export owner</w:t>
            </w:r>
          </w:p>
        </w:tc>
        <w:tc>
          <w:tcPr>
            <w:tcW w:type="dxa" w:w="71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On-site or video walkthrough of a similar plant/exporter case + payback math.</w:t>
            </w:r>
          </w:p>
        </w:tc>
      </w:tr>
      <w:tr>
        <w:trPr>
          <w:tblHeader w:val="false"/>
        </w:trPr>
        <w:tc>
          <w:tcPr>
            <w:tcW w:type="dxa" w:w="22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E-commerce / D2C</w:t>
            </w:r>
          </w:p>
        </w:tc>
        <w:tc>
          <w:tcPr>
            <w:tcW w:type="dxa" w:w="71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Free mini-audit + a working demo bot + month-1 results guarantee.</w:t>
            </w:r>
          </w:p>
        </w:tc>
      </w:tr>
      <w:tr>
        <w:trPr>
          <w:tblHeader w:val="false"/>
        </w:trPr>
        <w:tc>
          <w:tcPr>
            <w:tcW w:type="dxa" w:w="22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Mid-size CXO</w:t>
            </w:r>
          </w:p>
        </w:tc>
        <w:tc>
          <w:tcPr>
            <w:tcW w:type="dxa" w:w="71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Business case + case study + phased pilot with defined KPIs.</w:t>
            </w:r>
          </w:p>
        </w:tc>
      </w:tr>
      <w:tr>
        <w:trPr>
          <w:tblHeader w:val="false"/>
        </w:trPr>
        <w:tc>
          <w:tcPr>
            <w:tcW w:type="dxa" w:w="22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Enterprise</w:t>
            </w:r>
          </w:p>
        </w:tc>
        <w:tc>
          <w:tcPr>
            <w:tcW w:type="dxa" w:w="71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Partnership/RFP, security + governance proof, reference logos, POC.</w:t>
            </w:r>
          </w:p>
        </w:tc>
      </w:tr>
    </w:tbl>
    <w:p>
      <w:pPr>
        <w:spacing w:after="160"/>
      </w:pPr>
      <w:r>
        <w:rPr>
          <w:i/>
          <w:iCs/>
          <w:color w:val="595959"/>
          <w:sz w:val="16"/>
          <w:szCs w:val="16"/>
        </w:rPr>
        <w:t xml:space="preserve">Source: Persona budgets and cycles synthesised from SME B2B benchmarks, NASSCOM/WEF SME studies, and practitioner sales data (2024–2026). Full citations in References.</w:t>
      </w:r>
    </w:p>
    <w:p>
      <w:pPr>
        <w:pStyle w:val="Heading1"/>
        <w:pageBreakBefore/>
      </w:pPr>
      <w:r>
        <w:t xml:space="preserve">8. Business Model Strategy</w:t>
      </w:r>
    </w:p>
    <w:p>
      <w:pPr>
        <w:spacing w:after="140" w:line="276"/>
      </w:pPr>
      <w:r>
        <w:rPr>
          <w:i/>
          <w:iCs/>
          <w:color w:val="595959"/>
        </w:rPr>
        <w:t xml:space="preserve">Start as a productised agency, evolve into managed services + retainers, and graduate select solutions into SaaS. The goal: convert one-off project cash into compounding recurring revenue with AI-leveraged delivery margins of 55–75%.</w:t>
      </w:r>
    </w:p>
    <w:p>
      <w:pPr>
        <w:pStyle w:val="Heading2"/>
      </w:pPr>
      <w:r>
        <w:t xml:space="preserve">8.1 Model Options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00"/>
        <w:gridCol w:w="1450"/>
        <w:gridCol w:w="3160"/>
      </w:tblGrid>
      <w:tr>
        <w:trPr>
          <w:tblHeader/>
        </w:trPr>
        <w:tc>
          <w:tcPr>
            <w:tcW w:type="dxa" w:w="17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Model</w:t>
            </w:r>
          </w:p>
        </w:tc>
        <w:tc>
          <w:tcPr>
            <w:tcW w:type="dxa" w:w="1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Recurring</w:t>
            </w:r>
          </w:p>
        </w:tc>
        <w:tc>
          <w:tcPr>
            <w:tcW w:type="dxa" w:w="1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Margin</w:t>
            </w:r>
          </w:p>
        </w:tc>
        <w:tc>
          <w:tcPr>
            <w:tcW w:type="dxa" w:w="14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Scalability</w:t>
            </w:r>
          </w:p>
        </w:tc>
        <w:tc>
          <w:tcPr>
            <w:tcW w:type="dxa" w:w="31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Fit for a new division</w:t>
            </w:r>
          </w:p>
        </w:tc>
      </w:tr>
      <w:tr>
        <w:trPr>
          <w:tblHeader w:val="false"/>
        </w:trPr>
        <w:tc>
          <w:tcPr>
            <w:tcW w:type="dxa" w:w="17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Pure agency / projects</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Low</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40–60%</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Low (linear)</w:t>
            </w:r>
          </w:p>
        </w:tc>
        <w:tc>
          <w:tcPr>
            <w:tcW w:type="dxa" w:w="31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Good for cash + proof; weak long-term</w:t>
            </w:r>
          </w:p>
        </w:tc>
      </w:tr>
      <w:tr>
        <w:trPr>
          <w:tblHeader w:val="false"/>
        </w:trPr>
        <w:tc>
          <w:tcPr>
            <w:tcW w:type="dxa" w:w="17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Consulting / advisory</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Med</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55–75%</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Med</w:t>
            </w:r>
          </w:p>
        </w:tc>
        <w:tc>
          <w:tcPr>
            <w:tcW w:type="dxa" w:w="31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High-trust entry; pulls through delivery</w:t>
            </w:r>
          </w:p>
        </w:tc>
      </w:tr>
      <w:tr>
        <w:trPr>
          <w:tblHeader w:val="false"/>
        </w:trPr>
        <w:tc>
          <w:tcPr>
            <w:tcW w:type="dxa" w:w="17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Retainer / managed services</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High</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50–70%</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Med-High</w:t>
            </w:r>
          </w:p>
        </w:tc>
        <w:tc>
          <w:tcPr>
            <w:tcW w:type="dxa" w:w="31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Best near-term recurring engine</w:t>
            </w:r>
          </w:p>
        </w:tc>
      </w:tr>
      <w:tr>
        <w:trPr>
          <w:tblHeader w:val="false"/>
        </w:trPr>
        <w:tc>
          <w:tcPr>
            <w:tcW w:type="dxa" w:w="17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Subscription (productised)</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High</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60–80%</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High</w:t>
            </w:r>
          </w:p>
        </w:tc>
        <w:tc>
          <w:tcPr>
            <w:tcW w:type="dxa" w:w="31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Productise top services into monthly plans</w:t>
            </w:r>
          </w:p>
        </w:tc>
      </w:tr>
      <w:tr>
        <w:trPr>
          <w:tblHeader w:val="false"/>
        </w:trPr>
        <w:tc>
          <w:tcPr>
            <w:tcW w:type="dxa" w:w="17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SaaS / product</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Very High</w:t>
            </w:r>
          </w:p>
        </w:tc>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70–85%</w:t>
            </w:r>
          </w:p>
        </w:tc>
        <w:tc>
          <w:tcPr>
            <w:tcW w:type="dxa" w:w="14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Very High</w:t>
            </w:r>
          </w:p>
        </w:tc>
        <w:tc>
          <w:tcPr>
            <w:tcW w:type="dxa" w:w="31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Long-term: graduate proven solutions into IP</w:t>
            </w:r>
          </w:p>
        </w:tc>
      </w:tr>
      <w:tr>
        <w:trPr>
          <w:tblHeader w:val="false"/>
        </w:trPr>
        <w:tc>
          <w:tcPr>
            <w:tcW w:type="dxa" w:w="17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Hybrid (recommended)</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High</w:t>
            </w:r>
          </w:p>
        </w:tc>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55–75%</w:t>
            </w:r>
          </w:p>
        </w:tc>
        <w:tc>
          <w:tcPr>
            <w:tcW w:type="dxa" w:w="14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High</w:t>
            </w:r>
          </w:p>
        </w:tc>
        <w:tc>
          <w:tcPr>
            <w:tcW w:type="dxa" w:w="31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Project → retainer → SaaS ladder</w:t>
            </w:r>
          </w:p>
        </w:tc>
      </w:tr>
    </w:tbl>
    <w:p>
      <w:pPr>
        <w:pStyle w:val="Heading2"/>
      </w:pPr>
      <w:r>
        <w:t xml:space="preserve">8.2 Recommended Model — The Hybrid 'Land-and-Expand' Ladder</w:t>
      </w:r>
    </w:p>
    <w:p>
      <w:pPr>
        <w:pStyle w:val="ListParagraph"/>
        <w:numPr>
          <w:ilvl w:val="0"/>
          <w:numId w:val="3"/>
        </w:numPr>
        <w:spacing w:after="40" w:line="264"/>
      </w:pPr>
      <w:r>
        <w:t xml:space="preserve">Land with a productised project (chatbot, automation, dashboard) — fast cash, fast proof.</w:t>
      </w:r>
    </w:p>
    <w:p>
      <w:pPr>
        <w:pStyle w:val="ListParagraph"/>
        <w:numPr>
          <w:ilvl w:val="0"/>
          <w:numId w:val="3"/>
        </w:numPr>
        <w:spacing w:after="40" w:line="264"/>
      </w:pPr>
      <w:r>
        <w:t xml:space="preserve">Expand into a monthly managed/retainer relationship (run + improve + monitor) — recurring revenue.</w:t>
      </w:r>
    </w:p>
    <w:p>
      <w:pPr>
        <w:pStyle w:val="ListParagraph"/>
        <w:numPr>
          <w:ilvl w:val="0"/>
          <w:numId w:val="3"/>
        </w:numPr>
        <w:spacing w:after="40" w:line="264"/>
      </w:pPr>
      <w:r>
        <w:t xml:space="preserve">Cross-sell adjacent automations across the client's business — grow account value.</w:t>
      </w:r>
    </w:p>
    <w:p>
      <w:pPr>
        <w:pStyle w:val="ListParagraph"/>
        <w:numPr>
          <w:ilvl w:val="0"/>
          <w:numId w:val="3"/>
        </w:numPr>
        <w:spacing w:after="40" w:line="264"/>
      </w:pPr>
      <w:r>
        <w:t xml:space="preserve">Productise repeatable solutions into subscriptions, then into SaaS IP — compounding margin and enterprise value.</w:t>
      </w:r>
    </w:p>
    <w:p>
      <w:pPr>
        <w:spacing w:after="120" w:line="276"/>
        <w:jc w:val="both"/>
      </w:pPr>
      <w:r>
        <w:t xml:space="preserve">This ladder uses low-risk projects to fund a growing base of recurring revenue, while AI-native delivery keeps margins high. It also de-risks the business: by month 12 a meaningful share of revenue should be recurring, smoothing the lumpiness of project sales.</w:t>
      </w:r>
    </w:p>
    <w:p>
      <w:pPr>
        <w:pStyle w:val="Heading2"/>
      </w:pPr>
      <w:r>
        <w:t xml:space="preserve">8.3 Pricing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Pricing lever</w:t>
            </w:r>
          </w:p>
        </w:tc>
        <w:tc>
          <w:tcPr>
            <w:tcW w:type="dxa" w:w="70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Recommendation</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Productised packages</w:t>
            </w:r>
          </w:p>
        </w:tc>
        <w:tc>
          <w:tcPr>
            <w:tcW w:type="dxa" w:w="7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Fixed-price 'good/better/best' tiers per service (e.g., Chatbot Starter / Pro / Enterprise) — removes scoping friction, speeds sales.</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Monthly retainers</w:t>
            </w:r>
          </w:p>
        </w:tc>
        <w:tc>
          <w:tcPr>
            <w:tcW w:type="dxa" w:w="7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₹25k–₹3L+/mo (India) or $500–$5k+/mo (export) for run + support + improvements.</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Outcome / performance</w:t>
            </w:r>
          </w:p>
        </w:tc>
        <w:tc>
          <w:tcPr>
            <w:tcW w:type="dxa" w:w="7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Where measurable (leads, cost saved), add success fees — aligns incentives, justifies premium.</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Usage-based</w:t>
            </w:r>
          </w:p>
        </w:tc>
        <w:tc>
          <w:tcPr>
            <w:tcW w:type="dxa" w:w="7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For AI agents/bots: base fee + per-conversation/token pass-through with margin.</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Value-based (enterprise)</w:t>
            </w:r>
          </w:p>
        </w:tc>
        <w:tc>
          <w:tcPr>
            <w:tcW w:type="dxa" w:w="7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Price to % of ROI delivered, not cost of build — captures premium on high-impact work.</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Geographic arbitrage</w:t>
            </w:r>
          </w:p>
        </w:tc>
        <w:tc>
          <w:tcPr>
            <w:tcW w:type="dxa" w:w="7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Same delivery, priced 5–20× higher for US/UK/Gulf vs India — protect margin, fund growth.</w:t>
            </w:r>
          </w:p>
        </w:tc>
      </w:tr>
    </w:tbl>
    <w:p>
      <w:pPr>
        <w:pStyle w:val="Heading2"/>
      </w:pPr>
      <w:r>
        <w:t xml:space="preserve">8.4 Indicative Pricing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53"/>
        <w:gridCol w:w="2253"/>
        <w:gridCol w:w="2254"/>
      </w:tblGrid>
      <w:tr>
        <w:trPr>
          <w:tblHeader/>
        </w:trPr>
        <w:tc>
          <w:tcPr>
            <w:tcW w:type="dxa" w:w="26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Service package</w:t>
            </w:r>
          </w:p>
        </w:tc>
        <w:tc>
          <w:tcPr>
            <w:tcW w:type="dxa" w:w="2253"/>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India (₹)</w:t>
            </w:r>
          </w:p>
        </w:tc>
        <w:tc>
          <w:tcPr>
            <w:tcW w:type="dxa" w:w="2253"/>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Gulf ($)</w:t>
            </w:r>
          </w:p>
        </w:tc>
        <w:tc>
          <w:tcPr>
            <w:tcW w:type="dxa" w:w="2254"/>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US/UK ($)</w:t>
            </w:r>
          </w:p>
        </w:tc>
      </w:tr>
      <w:tr>
        <w:trPr>
          <w:tblHeader w:val="false"/>
        </w:trPr>
        <w:tc>
          <w:tcPr>
            <w:tcW w:type="dxa" w:w="2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AI Chatbot / WhatsApp bot — setup</w:t>
            </w:r>
          </w:p>
        </w:tc>
        <w:tc>
          <w:tcPr>
            <w:tcW w:type="dxa" w:w="2253"/>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₹40k–2L</w:t>
            </w:r>
          </w:p>
        </w:tc>
        <w:tc>
          <w:tcPr>
            <w:tcW w:type="dxa" w:w="2253"/>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$2–8k</w:t>
            </w:r>
          </w:p>
        </w:tc>
        <w:tc>
          <w:tcPr>
            <w:tcW w:type="dxa" w:w="2254"/>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$4–15k</w:t>
            </w:r>
          </w:p>
        </w:tc>
      </w:tr>
      <w:tr>
        <w:trPr>
          <w:tblHeader w:val="false"/>
        </w:trPr>
        <w:tc>
          <w:tcPr>
            <w:tcW w:type="dxa" w:w="2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Chatbot managed — monthly</w:t>
            </w:r>
          </w:p>
        </w:tc>
        <w:tc>
          <w:tcPr>
            <w:tcW w:type="dxa" w:w="2253"/>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₹15k–60k</w:t>
            </w:r>
          </w:p>
        </w:tc>
        <w:tc>
          <w:tcPr>
            <w:tcW w:type="dxa" w:w="2253"/>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$400–1.5k</w:t>
            </w:r>
          </w:p>
        </w:tc>
        <w:tc>
          <w:tcPr>
            <w:tcW w:type="dxa" w:w="2254"/>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$800–3k</w:t>
            </w:r>
          </w:p>
        </w:tc>
      </w:tr>
      <w:tr>
        <w:trPr>
          <w:tblHeader w:val="false"/>
        </w:trPr>
        <w:tc>
          <w:tcPr>
            <w:tcW w:type="dxa" w:w="2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Workflow / RPA automation — build</w:t>
            </w:r>
          </w:p>
        </w:tc>
        <w:tc>
          <w:tcPr>
            <w:tcW w:type="dxa" w:w="2253"/>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₹1.5–8L</w:t>
            </w:r>
          </w:p>
        </w:tc>
        <w:tc>
          <w:tcPr>
            <w:tcW w:type="dxa" w:w="2253"/>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$5–25k</w:t>
            </w:r>
          </w:p>
        </w:tc>
        <w:tc>
          <w:tcPr>
            <w:tcW w:type="dxa" w:w="2254"/>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$10–40k</w:t>
            </w:r>
          </w:p>
        </w:tc>
      </w:tr>
      <w:tr>
        <w:trPr>
          <w:tblHeader w:val="false"/>
        </w:trPr>
        <w:tc>
          <w:tcPr>
            <w:tcW w:type="dxa" w:w="2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Lead-gen + sales automation — monthly</w:t>
            </w:r>
          </w:p>
        </w:tc>
        <w:tc>
          <w:tcPr>
            <w:tcW w:type="dxa" w:w="2253"/>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₹40k–2L</w:t>
            </w:r>
          </w:p>
        </w:tc>
        <w:tc>
          <w:tcPr>
            <w:tcW w:type="dxa" w:w="2253"/>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$1–4k</w:t>
            </w:r>
          </w:p>
        </w:tc>
        <w:tc>
          <w:tcPr>
            <w:tcW w:type="dxa" w:w="2254"/>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$2–6k</w:t>
            </w:r>
          </w:p>
        </w:tc>
      </w:tr>
      <w:tr>
        <w:trPr>
          <w:tblHeader w:val="false"/>
        </w:trPr>
        <w:tc>
          <w:tcPr>
            <w:tcW w:type="dxa" w:w="2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Analytics / BI dashboard — project</w:t>
            </w:r>
          </w:p>
        </w:tc>
        <w:tc>
          <w:tcPr>
            <w:tcW w:type="dxa" w:w="2253"/>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₹2–12L</w:t>
            </w:r>
          </w:p>
        </w:tc>
        <w:tc>
          <w:tcPr>
            <w:tcW w:type="dxa" w:w="2253"/>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$6–30k</w:t>
            </w:r>
          </w:p>
        </w:tc>
        <w:tc>
          <w:tcPr>
            <w:tcW w:type="dxa" w:w="2254"/>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$10–50k</w:t>
            </w:r>
          </w:p>
        </w:tc>
      </w:tr>
      <w:tr>
        <w:trPr>
          <w:tblHeader w:val="false"/>
        </w:trPr>
        <w:tc>
          <w:tcPr>
            <w:tcW w:type="dxa" w:w="26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AI agent (custom) — build</w:t>
            </w:r>
          </w:p>
        </w:tc>
        <w:tc>
          <w:tcPr>
            <w:tcW w:type="dxa" w:w="2253"/>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₹3–20L</w:t>
            </w:r>
          </w:p>
        </w:tc>
        <w:tc>
          <w:tcPr>
            <w:tcW w:type="dxa" w:w="2253"/>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$10–60k</w:t>
            </w:r>
          </w:p>
        </w:tc>
        <w:tc>
          <w:tcPr>
            <w:tcW w:type="dxa" w:w="2254"/>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$20–80k</w:t>
            </w:r>
          </w:p>
        </w:tc>
      </w:tr>
      <w:tr>
        <w:trPr>
          <w:tblHeader w:val="false"/>
        </w:trPr>
        <w:tc>
          <w:tcPr>
            <w:tcW w:type="dxa" w:w="26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Digital-transformation advisory — monthly</w:t>
            </w:r>
          </w:p>
        </w:tc>
        <w:tc>
          <w:tcPr>
            <w:tcW w:type="dxa" w:w="2253"/>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₹1.5–6L</w:t>
            </w:r>
          </w:p>
        </w:tc>
        <w:tc>
          <w:tcPr>
            <w:tcW w:type="dxa" w:w="2253"/>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$4–15k</w:t>
            </w:r>
          </w:p>
        </w:tc>
        <w:tc>
          <w:tcPr>
            <w:tcW w:type="dxa" w:w="2254"/>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$8–25k</w:t>
            </w:r>
          </w:p>
        </w:tc>
      </w:tr>
    </w:tbl>
    <w:p>
      <w:pPr>
        <w:spacing w:after="160" w:before="40"/>
      </w:pPr>
      <w:r>
        <w:rPr>
          <w:i/>
          <w:iCs/>
          <w:color w:val="595959"/>
          <w:sz w:val="16"/>
          <w:szCs w:val="16"/>
        </w:rPr>
        <w:t xml:space="preserve">Figure 10. Indicative pricing — protect margin via geographic arbitrage and productised tiers.</w:t>
      </w:r>
    </w:p>
    <w:p>
      <w:pPr>
        <w:spacing w:after="160"/>
      </w:pPr>
      <w:r>
        <w:rPr>
          <w:i/>
          <w:iCs/>
          <w:color w:val="595959"/>
          <w:sz w:val="16"/>
          <w:szCs w:val="16"/>
        </w:rPr>
        <w:t xml:space="preserve">Source: Pricing synthesised from market-observed SME/mid-market rates across India, Gulf and US/UK (2024–2026). Indicative only. Full citations in References.</w:t>
      </w:r>
    </w:p>
    <w:p>
      <w:pPr>
        <w:pStyle w:val="Heading1"/>
        <w:pageBreakBefore/>
      </w:pPr>
      <w:r>
        <w:t xml:space="preserve">9. Go-To-Market Strategy</w:t>
      </w:r>
    </w:p>
    <w:p>
      <w:pPr>
        <w:spacing w:after="140" w:line="276"/>
      </w:pPr>
      <w:r>
        <w:rPr>
          <w:i/>
          <w:iCs/>
          <w:color w:val="595959"/>
        </w:rPr>
        <w:t xml:space="preserve">First 100 clients = niche focus + relentless outbound + undeniable demos + visible proof. Pick one vertical, dominate it with a productised offer, let case studies and referrals compound.</w:t>
      </w:r>
    </w:p>
    <w:p>
      <w:pPr>
        <w:pStyle w:val="Heading2"/>
      </w:pPr>
      <w:r>
        <w:t xml:space="preserve">9.1 The First-100-Clients Engine</w:t>
      </w:r>
    </w:p>
    <w:p>
      <w:pPr>
        <w:spacing w:after="120" w:line="276"/>
        <w:jc w:val="both"/>
      </w:pPr>
      <w:r>
        <w:t xml:space="preserve">Do not be a generalist. Choose one or two verticals (e.g., Gujarat manufacturing/exports + e-commerce/real-estate SMEs), build a productised offer with a killer demo, and run a multi-channel outbound machine. The sequence that works for a new B2B AI services firm: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50"/>
        <w:gridCol w:w="7710"/>
      </w:tblGrid>
      <w:tr>
        <w:trPr>
          <w:tblHeader/>
        </w:trPr>
        <w:tc>
          <w:tcPr>
            <w:tcW w:type="dxa" w:w="16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Channel</w:t>
            </w:r>
          </w:p>
        </w:tc>
        <w:tc>
          <w:tcPr>
            <w:tcW w:type="dxa" w:w="771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Exact execution</w:t>
            </w:r>
          </w:p>
        </w:tc>
      </w:tr>
      <w:tr>
        <w:trPr>
          <w:tblHeader w:val="false"/>
        </w:trPr>
        <w:tc>
          <w:tcPr>
            <w:tcW w:type="dxa" w:w="1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LinkedIn</w:t>
            </w:r>
          </w:p>
        </w:tc>
        <w:tc>
          <w:tcPr>
            <w:tcW w:type="dxa" w:w="77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Optimise founder profile as 'AI for [niche]'. Post 4–5×/week (case studies, before/after automations, demos). DM 20–30 targeted prospects/day with a value-first hook + Loom demo. Build to inbound.</w:t>
            </w:r>
          </w:p>
        </w:tc>
      </w:tr>
      <w:tr>
        <w:trPr>
          <w:tblHeader w:val="false"/>
        </w:trPr>
        <w:tc>
          <w:tcPr>
            <w:tcW w:type="dxa" w:w="1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Cold email</w:t>
            </w:r>
          </w:p>
        </w:tc>
        <w:tc>
          <w:tcPr>
            <w:tcW w:type="dxa" w:w="77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Build niche lists (Apollo/Clay). 50–100 personalised emails/day, 3–4 step sequence, lead with a specific pain + a 60-sec demo video + soft CTA (audit). A/B test relentlessly.</w:t>
            </w:r>
          </w:p>
        </w:tc>
      </w:tr>
      <w:tr>
        <w:trPr>
          <w:tblHeader w:val="false"/>
        </w:trPr>
        <w:tc>
          <w:tcPr>
            <w:tcW w:type="dxa" w:w="1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WhatsApp (India)</w:t>
            </w:r>
          </w:p>
        </w:tc>
        <w:tc>
          <w:tcPr>
            <w:tcW w:type="dxa" w:w="77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For SME/local: short personalised messages + voice notes + a working demo link. Highest reply rate in India; follow up by call.</w:t>
            </w:r>
          </w:p>
        </w:tc>
      </w:tr>
      <w:tr>
        <w:trPr>
          <w:tblHeader w:val="false"/>
        </w:trPr>
        <w:tc>
          <w:tcPr>
            <w:tcW w:type="dxa" w:w="1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Outbound calls / in-person</w:t>
            </w:r>
          </w:p>
        </w:tc>
        <w:tc>
          <w:tcPr>
            <w:tcW w:type="dxa" w:w="77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For mfg/export owners: phone + factory/office visits with a live demo on their use case. Relationship + ROI math closes.</w:t>
            </w:r>
          </w:p>
        </w:tc>
      </w:tr>
      <w:tr>
        <w:trPr>
          <w:tblHeader w:val="false"/>
        </w:trPr>
        <w:tc>
          <w:tcPr>
            <w:tcW w:type="dxa" w:w="1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AI demos</w:t>
            </w:r>
          </w:p>
        </w:tc>
        <w:tc>
          <w:tcPr>
            <w:tcW w:type="dxa" w:w="77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Pre-build vertical demo bots/automations (clinic bot, dealership bot, exporter doc-bot). 'Show, don't tell' — the demo is the pitch.</w:t>
            </w:r>
          </w:p>
        </w:tc>
      </w:tr>
      <w:tr>
        <w:trPr>
          <w:tblHeader w:val="false"/>
        </w:trPr>
        <w:tc>
          <w:tcPr>
            <w:tcW w:type="dxa" w:w="1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SEO + content</w:t>
            </w:r>
          </w:p>
        </w:tc>
        <w:tc>
          <w:tcPr>
            <w:tcW w:type="dxa" w:w="77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Rank for '[service] for [industry] in [city]'. Publish use-cases, ROI calculators, comparison guides. Compounds over 6–12 months.</w:t>
            </w:r>
          </w:p>
        </w:tc>
      </w:tr>
      <w:tr>
        <w:trPr>
          <w:tblHeader w:val="false"/>
        </w:trPr>
        <w:tc>
          <w:tcPr>
            <w:tcW w:type="dxa" w:w="1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Case studies</w:t>
            </w:r>
          </w:p>
        </w:tc>
        <w:tc>
          <w:tcPr>
            <w:tcW w:type="dxa" w:w="77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Turn every early win into a 1-page result story (metrics + quote + before/after). Your #1 sales asset.</w:t>
            </w:r>
          </w:p>
        </w:tc>
      </w:tr>
      <w:tr>
        <w:trPr>
          <w:tblHeader w:val="false"/>
        </w:trPr>
        <w:tc>
          <w:tcPr>
            <w:tcW w:type="dxa" w:w="16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Referrals</w:t>
            </w:r>
          </w:p>
        </w:tc>
        <w:tc>
          <w:tcPr>
            <w:tcW w:type="dxa" w:w="77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Ask every happy client for 2 intros; add a referral fee. Warm intros convert 3–5× cold.</w:t>
            </w:r>
          </w:p>
        </w:tc>
      </w:tr>
      <w:tr>
        <w:trPr>
          <w:tblHeader w:val="false"/>
        </w:trPr>
        <w:tc>
          <w:tcPr>
            <w:tcW w:type="dxa" w:w="16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Partnerships</w:t>
            </w:r>
          </w:p>
        </w:tc>
        <w:tc>
          <w:tcPr>
            <w:tcW w:type="dxa" w:w="77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Co-sell with hyperscalers (AWS/Azure/Google), UiPath/ServiceNow partners, web/marketing agencies, CAs/consultants, industry associations and export councils.</w:t>
            </w:r>
          </w:p>
        </w:tc>
      </w:tr>
    </w:tbl>
    <w:p>
      <w:pPr>
        <w:pStyle w:val="Heading2"/>
      </w:pPr>
      <w:r>
        <w:t xml:space="preserve">9.2 90-Day Outbound Cadence (illustrative weekly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086"/>
        <w:gridCol w:w="2087"/>
        <w:gridCol w:w="2087"/>
      </w:tblGrid>
      <w:tr>
        <w:trPr>
          <w:tblHeader/>
        </w:trPr>
        <w:tc>
          <w:tcPr>
            <w:tcW w:type="dxa" w:w="31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Activity</w:t>
            </w:r>
          </w:p>
        </w:tc>
        <w:tc>
          <w:tcPr>
            <w:tcW w:type="dxa" w:w="2086"/>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Per week</w:t>
            </w:r>
          </w:p>
        </w:tc>
        <w:tc>
          <w:tcPr>
            <w:tcW w:type="dxa" w:w="2087"/>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Reply target</w:t>
            </w:r>
          </w:p>
        </w:tc>
        <w:tc>
          <w:tcPr>
            <w:tcW w:type="dxa" w:w="2087"/>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Meetings target</w:t>
            </w:r>
          </w:p>
        </w:tc>
      </w:tr>
      <w:tr>
        <w:trPr>
          <w:tblHeader w:val="false"/>
        </w:trPr>
        <w:tc>
          <w:tcPr>
            <w:tcW w:type="dxa" w:w="31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LinkedIn DMs</w:t>
            </w:r>
          </w:p>
        </w:tc>
        <w:tc>
          <w:tcPr>
            <w:tcW w:type="dxa" w:w="2086"/>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120–150</w:t>
            </w:r>
          </w:p>
        </w:tc>
        <w:tc>
          <w:tcPr>
            <w:tcW w:type="dxa" w:w="2087"/>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8–15%</w:t>
            </w:r>
          </w:p>
        </w:tc>
        <w:tc>
          <w:tcPr>
            <w:tcW w:type="dxa" w:w="2087"/>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5–8</w:t>
            </w:r>
          </w:p>
        </w:tc>
      </w:tr>
      <w:tr>
        <w:trPr>
          <w:tblHeader w:val="false"/>
        </w:trPr>
        <w:tc>
          <w:tcPr>
            <w:tcW w:type="dxa" w:w="31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Cold emails</w:t>
            </w:r>
          </w:p>
        </w:tc>
        <w:tc>
          <w:tcPr>
            <w:tcW w:type="dxa" w:w="2086"/>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300–500</w:t>
            </w:r>
          </w:p>
        </w:tc>
        <w:tc>
          <w:tcPr>
            <w:tcW w:type="dxa" w:w="2087"/>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3–6%</w:t>
            </w:r>
          </w:p>
        </w:tc>
        <w:tc>
          <w:tcPr>
            <w:tcW w:type="dxa" w:w="2087"/>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4–8</w:t>
            </w:r>
          </w:p>
        </w:tc>
      </w:tr>
      <w:tr>
        <w:trPr>
          <w:tblHeader w:val="false"/>
        </w:trPr>
        <w:tc>
          <w:tcPr>
            <w:tcW w:type="dxa" w:w="31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WhatsApp (India SME)</w:t>
            </w:r>
          </w:p>
        </w:tc>
        <w:tc>
          <w:tcPr>
            <w:tcW w:type="dxa" w:w="2086"/>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100–150</w:t>
            </w:r>
          </w:p>
        </w:tc>
        <w:tc>
          <w:tcPr>
            <w:tcW w:type="dxa" w:w="2087"/>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15–25%</w:t>
            </w:r>
          </w:p>
        </w:tc>
        <w:tc>
          <w:tcPr>
            <w:tcW w:type="dxa" w:w="2087"/>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6–10</w:t>
            </w:r>
          </w:p>
        </w:tc>
      </w:tr>
      <w:tr>
        <w:trPr>
          <w:tblHeader w:val="false"/>
        </w:trPr>
        <w:tc>
          <w:tcPr>
            <w:tcW w:type="dxa" w:w="31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Calls / visits</w:t>
            </w:r>
          </w:p>
        </w:tc>
        <w:tc>
          <w:tcPr>
            <w:tcW w:type="dxa" w:w="2086"/>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20–40</w:t>
            </w:r>
          </w:p>
        </w:tc>
        <w:tc>
          <w:tcPr>
            <w:tcW w:type="dxa" w:w="2087"/>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w:t>
            </w:r>
          </w:p>
        </w:tc>
        <w:tc>
          <w:tcPr>
            <w:tcW w:type="dxa" w:w="2087"/>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4–8</w:t>
            </w:r>
          </w:p>
        </w:tc>
      </w:tr>
      <w:tr>
        <w:trPr>
          <w:tblHeader w:val="false"/>
        </w:trPr>
        <w:tc>
          <w:tcPr>
            <w:tcW w:type="dxa" w:w="31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Content posts</w:t>
            </w:r>
          </w:p>
        </w:tc>
        <w:tc>
          <w:tcPr>
            <w:tcW w:type="dxa" w:w="2086"/>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5–7</w:t>
            </w:r>
          </w:p>
        </w:tc>
        <w:tc>
          <w:tcPr>
            <w:tcW w:type="dxa" w:w="2087"/>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Inbound</w:t>
            </w:r>
          </w:p>
        </w:tc>
        <w:tc>
          <w:tcPr>
            <w:tcW w:type="dxa" w:w="2087"/>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1–3 (compounding)</w:t>
            </w:r>
          </w:p>
        </w:tc>
      </w:tr>
    </w:tbl>
    <w:p>
      <w:pPr>
        <w:spacing w:after="120" w:line="276"/>
        <w:jc w:val="both"/>
      </w:pPr>
      <w:r>
        <w:t xml:space="preserve">At these volumes a disciplined founder-led motion realistically books 15–25 qualified meetings/week within 60–90 days, converting to 4–10 new clients/month as positioning and case studies sharpen.</w:t>
      </w:r>
    </w:p>
    <w:p>
      <w:pPr>
        <w:pStyle w:val="Heading2"/>
      </w:pPr>
      <w:r>
        <w:t xml:space="preserve">9.3 The Offer That Converts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Productised, low-risk first offer</w:t>
            </w:r>
          </w:p>
          <w:p>
            <w:pPr>
              <w:spacing w:after="40"/>
            </w:pPr>
            <w:r>
              <w:rPr>
                <w:sz w:val="18"/>
                <w:szCs w:val="18"/>
              </w:rPr>
              <w:t xml:space="preserve">Niche + outcome: 'We build a 24/7 AI sales agent for [real-estate / dealerships / exporters] that captures and follows up every lead — or you don't pay month 2.'</w:t>
            </w:r>
          </w:p>
          <w:p>
            <w:pPr>
              <w:spacing w:after="40"/>
            </w:pPr>
            <w:r>
              <w:rPr>
                <w:sz w:val="18"/>
                <w:szCs w:val="18"/>
              </w:rPr>
              <w:t xml:space="preserve">Free value first: a 15-min audit or a working demo bot trained on their content.</w:t>
            </w:r>
          </w:p>
          <w:p>
            <w:pPr>
              <w:spacing w:after="40"/>
            </w:pPr>
            <w:r>
              <w:rPr>
                <w:sz w:val="18"/>
                <w:szCs w:val="18"/>
              </w:rPr>
              <w:t xml:space="preserve">Small paid pilot (₹25–75k / $1–3k) → prove ROI → convert to monthly retainer.</w:t>
            </w:r>
          </w:p>
          <w:p>
            <w:pPr>
              <w:spacing w:after="40"/>
            </w:pPr>
            <w:r>
              <w:rPr>
                <w:sz w:val="18"/>
                <w:szCs w:val="18"/>
              </w:rPr>
              <w:t xml:space="preserve">Risk reversal: month-1 guarantee or pilot pricing removes the 'will it work' objection.</w:t>
            </w:r>
          </w:p>
        </w:tc>
      </w:tr>
    </w:tbl>
    <w:p>
      <w:pPr>
        <w:pStyle w:val="Heading2"/>
      </w:pPr>
      <w:r>
        <w:t xml:space="preserve">9.4 Content &amp; Brand Engine</w:t>
      </w:r>
    </w:p>
    <w:p>
      <w:pPr>
        <w:pStyle w:val="ListParagraph"/>
        <w:numPr>
          <w:ilvl w:val="0"/>
          <w:numId w:val="2"/>
        </w:numPr>
        <w:spacing w:after="40" w:line="264"/>
      </w:pPr>
      <w:r>
        <w:t xml:space="preserve">Founder thought leadership on LinkedIn (the #1 channel for B2B AI services in 2025).</w:t>
      </w:r>
    </w:p>
    <w:p>
      <w:pPr>
        <w:pStyle w:val="ListParagraph"/>
        <w:numPr>
          <w:ilvl w:val="0"/>
          <w:numId w:val="2"/>
        </w:numPr>
        <w:spacing w:after="40" w:line="264"/>
      </w:pPr>
      <w:r>
        <w:t xml:space="preserve">Vertical case-study library + short demo videos (YouTube/Reels/Shorts) for proof + SEO.</w:t>
      </w:r>
    </w:p>
    <w:p>
      <w:pPr>
        <w:pStyle w:val="ListParagraph"/>
        <w:numPr>
          <w:ilvl w:val="0"/>
          <w:numId w:val="2"/>
        </w:numPr>
        <w:spacing w:after="40" w:line="264"/>
      </w:pPr>
      <w:r>
        <w:t xml:space="preserve">Lead magnets: ROI calculators, 'AI readiness' audits, industry automation playbooks.</w:t>
      </w:r>
    </w:p>
    <w:p>
      <w:pPr>
        <w:pStyle w:val="ListParagraph"/>
        <w:numPr>
          <w:ilvl w:val="0"/>
          <w:numId w:val="2"/>
        </w:numPr>
        <w:spacing w:after="40" w:line="264"/>
      </w:pPr>
      <w:r>
        <w:t xml:space="preserve">Email newsletter nurturing prospects with use-cases until they're ready to buy.</w:t>
      </w:r>
    </w:p>
    <w:p>
      <w:pPr>
        <w:spacing w:after="160"/>
      </w:pPr>
      <w:r>
        <w:rPr>
          <w:i/>
          <w:iCs/>
          <w:color w:val="595959"/>
          <w:sz w:val="16"/>
          <w:szCs w:val="16"/>
        </w:rPr>
        <w:t xml:space="preserve">Source: GTM playbook synthesised from B2B SaaS/agency growth benchmarks and AI-services practitioner data (2024–2026). Conversion ranges are illustrative. Full citations in References.</w:t>
      </w:r>
    </w:p>
    <w:p>
      <w:pPr>
        <w:pStyle w:val="Heading1"/>
        <w:pageBreakBefore/>
      </w:pPr>
      <w:r>
        <w:t xml:space="preserve">10. SWOT Analysis</w:t>
      </w:r>
    </w:p>
    <w:p>
      <w:pPr>
        <w:spacing w:after="140" w:line="276"/>
      </w:pPr>
      <w:r>
        <w:rPr>
          <w:i/>
          <w:iCs/>
          <w:color w:val="595959"/>
        </w:rPr>
        <w:t xml:space="preserve">The strategic balance: a nimble, AI-native challenger with strong local access and cost advantage, but no track record yet — racing to build proof before commoditisation and incumbents close the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548235" w:sz="4"/>
              <w:left w:val="single" w:color="548235" w:sz="4"/>
              <w:bottom w:val="single" w:color="548235" w:sz="4"/>
              <w:right w:val="single" w:color="548235" w:sz="4"/>
            </w:tcBorders>
            <w:shd w:fill="E2EFDA" w:val="clear"/>
            <w:tcMar>
              <w:top w:type="dxa" w:w="120"/>
              <w:left w:type="dxa" w:w="140"/>
              <w:bottom w:type="dxa" w:w="120"/>
              <w:right w:type="dxa" w:w="140"/>
            </w:tcMar>
          </w:tcPr>
          <w:p>
            <w:pPr>
              <w:spacing w:after="80"/>
            </w:pPr>
            <w:r>
              <w:rPr>
                <w:b/>
                <w:bCs/>
                <w:color w:val="548235"/>
                <w:sz w:val="22"/>
                <w:szCs w:val="22"/>
              </w:rPr>
              <w:t xml:space="preserve">STRENGTHS</w:t>
            </w:r>
          </w:p>
          <w:p>
            <w:pPr>
              <w:pStyle w:val="ListParagraph"/>
              <w:numPr>
                <w:ilvl w:val="0"/>
                <w:numId w:val="2"/>
              </w:numPr>
              <w:spacing w:after="40"/>
            </w:pPr>
            <w:r>
              <w:rPr>
                <w:sz w:val="16"/>
                <w:szCs w:val="16"/>
              </w:rPr>
              <w:t xml:space="preserve">AI-native, lean delivery → lower cost, faster than incumbents</w:t>
            </w:r>
          </w:p>
          <w:p>
            <w:pPr>
              <w:pStyle w:val="ListParagraph"/>
              <w:numPr>
                <w:ilvl w:val="0"/>
                <w:numId w:val="2"/>
              </w:numPr>
              <w:spacing w:after="40"/>
            </w:pPr>
            <w:r>
              <w:rPr>
                <w:sz w:val="16"/>
                <w:szCs w:val="16"/>
              </w:rPr>
              <w:t xml:space="preserve">No legacy/headcount baggage; can price aggressively</w:t>
            </w:r>
          </w:p>
          <w:p>
            <w:pPr>
              <w:pStyle w:val="ListParagraph"/>
              <w:numPr>
                <w:ilvl w:val="0"/>
                <w:numId w:val="2"/>
              </w:numPr>
              <w:spacing w:after="40"/>
            </w:pPr>
            <w:r>
              <w:rPr>
                <w:sz w:val="16"/>
                <w:szCs w:val="16"/>
              </w:rPr>
              <w:t xml:space="preserve">Founder domain + local (Gujarat/India) market access</w:t>
            </w:r>
          </w:p>
          <w:p>
            <w:pPr>
              <w:pStyle w:val="ListParagraph"/>
              <w:numPr>
                <w:ilvl w:val="0"/>
                <w:numId w:val="2"/>
              </w:numPr>
              <w:spacing w:after="40"/>
            </w:pPr>
            <w:r>
              <w:rPr>
                <w:sz w:val="16"/>
                <w:szCs w:val="16"/>
              </w:rPr>
              <w:t xml:space="preserve">Productised, vertical focus vs generalist competitors</w:t>
            </w:r>
          </w:p>
          <w:p>
            <w:pPr>
              <w:pStyle w:val="ListParagraph"/>
              <w:numPr>
                <w:ilvl w:val="0"/>
                <w:numId w:val="2"/>
              </w:numPr>
              <w:spacing w:after="40"/>
            </w:pPr>
            <w:r>
              <w:rPr>
                <w:sz w:val="16"/>
                <w:szCs w:val="16"/>
              </w:rPr>
              <w:t xml:space="preserve">Geographic arbitrage: India cost, global pricing</w:t>
            </w:r>
          </w:p>
        </w:tc>
        <w:tc>
          <w:tcPr>
            <w:tcW w:type="dxa" w:w="4680"/>
            <w:tcBorders>
              <w:top w:val="single" w:color="BF8F00" w:sz="4"/>
              <w:left w:val="single" w:color="BF8F00" w:sz="4"/>
              <w:bottom w:val="single" w:color="BF8F00" w:sz="4"/>
              <w:right w:val="single" w:color="BF8F00" w:sz="4"/>
            </w:tcBorders>
            <w:shd w:fill="FBE4D5" w:val="clear"/>
            <w:tcMar>
              <w:top w:type="dxa" w:w="120"/>
              <w:left w:type="dxa" w:w="140"/>
              <w:bottom w:type="dxa" w:w="120"/>
              <w:right w:type="dxa" w:w="140"/>
            </w:tcMar>
          </w:tcPr>
          <w:p>
            <w:pPr>
              <w:spacing w:after="80"/>
            </w:pPr>
            <w:r>
              <w:rPr>
                <w:b/>
                <w:bCs/>
                <w:color w:val="BF8F00"/>
                <w:sz w:val="22"/>
                <w:szCs w:val="22"/>
              </w:rPr>
              <w:t xml:space="preserve">WEAKNESSES</w:t>
            </w:r>
          </w:p>
          <w:p>
            <w:pPr>
              <w:pStyle w:val="ListParagraph"/>
              <w:numPr>
                <w:ilvl w:val="0"/>
                <w:numId w:val="2"/>
              </w:numPr>
              <w:spacing w:after="40"/>
            </w:pPr>
            <w:r>
              <w:rPr>
                <w:sz w:val="16"/>
                <w:szCs w:val="16"/>
              </w:rPr>
              <w:t xml:space="preserve">No brand, track record or case studies yet</w:t>
            </w:r>
          </w:p>
          <w:p>
            <w:pPr>
              <w:pStyle w:val="ListParagraph"/>
              <w:numPr>
                <w:ilvl w:val="0"/>
                <w:numId w:val="2"/>
              </w:numPr>
              <w:spacing w:after="40"/>
            </w:pPr>
            <w:r>
              <w:rPr>
                <w:sz w:val="16"/>
                <w:szCs w:val="16"/>
              </w:rPr>
              <w:t xml:space="preserve">Limited capital and small initial team</w:t>
            </w:r>
          </w:p>
          <w:p>
            <w:pPr>
              <w:pStyle w:val="ListParagraph"/>
              <w:numPr>
                <w:ilvl w:val="0"/>
                <w:numId w:val="2"/>
              </w:numPr>
              <w:spacing w:after="40"/>
            </w:pPr>
            <w:r>
              <w:rPr>
                <w:sz w:val="16"/>
                <w:szCs w:val="16"/>
              </w:rPr>
              <w:t xml:space="preserve">Trust gap vs established firms for big deals</w:t>
            </w:r>
          </w:p>
          <w:p>
            <w:pPr>
              <w:pStyle w:val="ListParagraph"/>
              <w:numPr>
                <w:ilvl w:val="0"/>
                <w:numId w:val="2"/>
              </w:numPr>
              <w:spacing w:after="40"/>
            </w:pPr>
            <w:r>
              <w:rPr>
                <w:sz w:val="16"/>
                <w:szCs w:val="16"/>
              </w:rPr>
              <w:t xml:space="preserve">Founder-dependent sales early on</w:t>
            </w:r>
          </w:p>
          <w:p>
            <w:pPr>
              <w:pStyle w:val="ListParagraph"/>
              <w:numPr>
                <w:ilvl w:val="0"/>
                <w:numId w:val="2"/>
              </w:numPr>
              <w:spacing w:after="40"/>
            </w:pPr>
            <w:r>
              <w:rPr>
                <w:sz w:val="16"/>
                <w:szCs w:val="16"/>
              </w:rPr>
              <w:t xml:space="preserve">Talent acquisition/retention in hot AI market</w:t>
            </w:r>
          </w:p>
        </w:tc>
      </w:tr>
      <w:tr>
        <w:tc>
          <w:tcPr>
            <w:tcW w:type="dxa" w:w="4680"/>
            <w:tcBorders>
              <w:top w:val="single" w:color="2E75B6" w:sz="4"/>
              <w:left w:val="single" w:color="2E75B6" w:sz="4"/>
              <w:bottom w:val="single" w:color="2E75B6" w:sz="4"/>
              <w:right w:val="single" w:color="2E75B6" w:sz="4"/>
            </w:tcBorders>
            <w:shd w:fill="DEEBF7" w:val="clear"/>
            <w:tcMar>
              <w:top w:type="dxa" w:w="120"/>
              <w:left w:type="dxa" w:w="140"/>
              <w:bottom w:type="dxa" w:w="120"/>
              <w:right w:type="dxa" w:w="140"/>
            </w:tcMar>
          </w:tcPr>
          <w:p>
            <w:pPr>
              <w:spacing w:after="80"/>
            </w:pPr>
            <w:r>
              <w:rPr>
                <w:b/>
                <w:bCs/>
                <w:color w:val="2E75B6"/>
                <w:sz w:val="22"/>
                <w:szCs w:val="22"/>
              </w:rPr>
              <w:t xml:space="preserve">OPPORTUNITIES</w:t>
            </w:r>
          </w:p>
          <w:p>
            <w:pPr>
              <w:pStyle w:val="ListParagraph"/>
              <w:numPr>
                <w:ilvl w:val="0"/>
                <w:numId w:val="2"/>
              </w:numPr>
              <w:spacing w:after="40"/>
            </w:pPr>
            <w:r>
              <w:rPr>
                <w:sz w:val="16"/>
                <w:szCs w:val="16"/>
              </w:rPr>
              <w:t xml:space="preserve">Huge under-served SME/mid-market + Gujarat verticals</w:t>
            </w:r>
          </w:p>
          <w:p>
            <w:pPr>
              <w:pStyle w:val="ListParagraph"/>
              <w:numPr>
                <w:ilvl w:val="0"/>
                <w:numId w:val="2"/>
              </w:numPr>
              <w:spacing w:after="40"/>
            </w:pPr>
            <w:r>
              <w:rPr>
                <w:sz w:val="16"/>
                <w:szCs w:val="16"/>
              </w:rPr>
              <w:t xml:space="preserve">GenAI/agentic wave — early-mover positioning</w:t>
            </w:r>
          </w:p>
          <w:p>
            <w:pPr>
              <w:pStyle w:val="ListParagraph"/>
              <w:numPr>
                <w:ilvl w:val="0"/>
                <w:numId w:val="2"/>
              </w:numPr>
              <w:spacing w:after="40"/>
            </w:pPr>
            <w:r>
              <w:rPr>
                <w:sz w:val="16"/>
                <w:szCs w:val="16"/>
              </w:rPr>
              <w:t xml:space="preserve">Pilot-rescue &amp; AI governance demand rising</w:t>
            </w:r>
          </w:p>
          <w:p>
            <w:pPr>
              <w:pStyle w:val="ListParagraph"/>
              <w:numPr>
                <w:ilvl w:val="0"/>
                <w:numId w:val="2"/>
              </w:numPr>
              <w:spacing w:after="40"/>
            </w:pPr>
            <w:r>
              <w:rPr>
                <w:sz w:val="16"/>
                <w:szCs w:val="16"/>
              </w:rPr>
              <w:t xml:space="preserve">Export delivery to high-value US/UK/Gulf markets</w:t>
            </w:r>
          </w:p>
          <w:p>
            <w:pPr>
              <w:pStyle w:val="ListParagraph"/>
              <w:numPr>
                <w:ilvl w:val="0"/>
                <w:numId w:val="2"/>
              </w:numPr>
              <w:spacing w:after="40"/>
            </w:pPr>
            <w:r>
              <w:rPr>
                <w:sz w:val="16"/>
                <w:szCs w:val="16"/>
              </w:rPr>
              <w:t xml:space="preserve">Partnerships (hyperscalers, platforms, agencies)</w:t>
            </w:r>
          </w:p>
        </w:tc>
        <w:tc>
          <w:tcPr>
            <w:tcW w:type="dxa" w:w="4680"/>
            <w:tcBorders>
              <w:top w:val="single" w:color="C00000" w:sz="4"/>
              <w:left w:val="single" w:color="C00000" w:sz="4"/>
              <w:bottom w:val="single" w:color="C00000" w:sz="4"/>
              <w:right w:val="single" w:color="C00000" w:sz="4"/>
            </w:tcBorders>
            <w:shd w:fill="F2DCDB" w:val="clear"/>
            <w:tcMar>
              <w:top w:type="dxa" w:w="120"/>
              <w:left w:type="dxa" w:w="140"/>
              <w:bottom w:type="dxa" w:w="120"/>
              <w:right w:type="dxa" w:w="140"/>
            </w:tcMar>
          </w:tcPr>
          <w:p>
            <w:pPr>
              <w:spacing w:after="80"/>
            </w:pPr>
            <w:r>
              <w:rPr>
                <w:b/>
                <w:bCs/>
                <w:color w:val="C00000"/>
                <w:sz w:val="22"/>
                <w:szCs w:val="22"/>
              </w:rPr>
              <w:t xml:space="preserve">THREATS</w:t>
            </w:r>
          </w:p>
          <w:p>
            <w:pPr>
              <w:pStyle w:val="ListParagraph"/>
              <w:numPr>
                <w:ilvl w:val="0"/>
                <w:numId w:val="2"/>
              </w:numPr>
              <w:spacing w:after="40"/>
            </w:pPr>
            <w:r>
              <w:rPr>
                <w:sz w:val="16"/>
                <w:szCs w:val="16"/>
              </w:rPr>
              <w:t xml:space="preserve">Commoditisation (low-code + foundation models)</w:t>
            </w:r>
          </w:p>
          <w:p>
            <w:pPr>
              <w:pStyle w:val="ListParagraph"/>
              <w:numPr>
                <w:ilvl w:val="0"/>
                <w:numId w:val="2"/>
              </w:numPr>
              <w:spacing w:after="40"/>
            </w:pPr>
            <w:r>
              <w:rPr>
                <w:sz w:val="16"/>
                <w:szCs w:val="16"/>
              </w:rPr>
              <w:t xml:space="preserve">Tier-1/2 firms moving down-market</w:t>
            </w:r>
          </w:p>
          <w:p>
            <w:pPr>
              <w:pStyle w:val="ListParagraph"/>
              <w:numPr>
                <w:ilvl w:val="0"/>
                <w:numId w:val="2"/>
              </w:numPr>
              <w:spacing w:after="40"/>
            </w:pPr>
            <w:r>
              <w:rPr>
                <w:sz w:val="16"/>
                <w:szCs w:val="16"/>
              </w:rPr>
              <w:t xml:space="preserve">Price competition from app/dev shops</w:t>
            </w:r>
          </w:p>
          <w:p>
            <w:pPr>
              <w:pStyle w:val="ListParagraph"/>
              <w:numPr>
                <w:ilvl w:val="0"/>
                <w:numId w:val="2"/>
              </w:numPr>
              <w:spacing w:after="40"/>
            </w:pPr>
            <w:r>
              <w:rPr>
                <w:sz w:val="16"/>
                <w:szCs w:val="16"/>
              </w:rPr>
              <w:t xml:space="preserve">Fast tech change; model/platform disruption</w:t>
            </w:r>
          </w:p>
          <w:p>
            <w:pPr>
              <w:pStyle w:val="ListParagraph"/>
              <w:numPr>
                <w:ilvl w:val="0"/>
                <w:numId w:val="2"/>
              </w:numPr>
              <w:spacing w:after="40"/>
            </w:pPr>
            <w:r>
              <w:rPr>
                <w:sz w:val="16"/>
                <w:szCs w:val="16"/>
              </w:rPr>
              <w:t xml:space="preserve">Regulatory shifts (DPDP, EU AI Act); buyer skepticism</w:t>
            </w:r>
          </w:p>
        </w:tc>
      </w:tr>
    </w:tbl>
    <w:p>
      <w:pPr>
        <w:spacing w:after="120"/>
      </w:pPr>
      <w:r>
        <w:t xml:space="preserve"/>
      </w:r>
    </w:p>
    <w:p>
      <w:pPr>
        <w:pStyle w:val="Heading2"/>
      </w:pPr>
      <w:r>
        <w:t xml:space="preserve">10.1 Strategic Implications (SWOT → Action)</w:t>
      </w:r>
    </w:p>
    <w:p>
      <w:pPr>
        <w:pStyle w:val="ListParagraph"/>
        <w:numPr>
          <w:ilvl w:val="0"/>
          <w:numId w:val="2"/>
        </w:numPr>
        <w:spacing w:after="40" w:line="264"/>
      </w:pPr>
      <w:r>
        <w:rPr>
          <w:b/>
          <w:bCs/>
        </w:rPr>
        <w:t xml:space="preserve">Strengths × Opportunities: </w:t>
      </w:r>
      <w:r>
        <w:t xml:space="preserve">Use AI-native speed + local access to dominate one Gujarat/India vertical fast, then export delivery globally.</w:t>
      </w:r>
    </w:p>
    <w:p>
      <w:pPr>
        <w:pStyle w:val="ListParagraph"/>
        <w:numPr>
          <w:ilvl w:val="0"/>
          <w:numId w:val="2"/>
        </w:numPr>
        <w:spacing w:after="40" w:line="264"/>
      </w:pPr>
      <w:r>
        <w:rPr>
          <w:b/>
          <w:bCs/>
        </w:rPr>
        <w:t xml:space="preserve">Weaknesses × Opportunities: </w:t>
      </w:r>
      <w:r>
        <w:t xml:space="preserve">Close the trust gap with free demos, paid pilots, risk reversal and rapid case-study production.</w:t>
      </w:r>
    </w:p>
    <w:p>
      <w:pPr>
        <w:pStyle w:val="ListParagraph"/>
        <w:numPr>
          <w:ilvl w:val="0"/>
          <w:numId w:val="2"/>
        </w:numPr>
        <w:spacing w:after="40" w:line="264"/>
      </w:pPr>
      <w:r>
        <w:rPr>
          <w:b/>
          <w:bCs/>
        </w:rPr>
        <w:t xml:space="preserve">Strengths × Threats: </w:t>
      </w:r>
      <w:r>
        <w:t xml:space="preserve">Out-run commoditisation by building vertical IP and outcome-based offers competitors can't easily copy.</w:t>
      </w:r>
    </w:p>
    <w:p>
      <w:pPr>
        <w:pStyle w:val="ListParagraph"/>
        <w:numPr>
          <w:ilvl w:val="0"/>
          <w:numId w:val="2"/>
        </w:numPr>
        <w:spacing w:after="40" w:line="264"/>
      </w:pPr>
      <w:r>
        <w:rPr>
          <w:b/>
          <w:bCs/>
        </w:rPr>
        <w:t xml:space="preserve">Weaknesses × Threats: </w:t>
      </w:r>
      <w:r>
        <w:t xml:space="preserve">Avoid enterprise RFPs early; stay capital-light, recurring-revenue-focused, and partnership-leveraged.</w:t>
      </w:r>
    </w:p>
    <w:p>
      <w:pPr>
        <w:spacing w:after="160"/>
      </w:pPr>
      <w:r>
        <w:rPr>
          <w:i/>
          <w:iCs/>
          <w:color w:val="595959"/>
          <w:sz w:val="16"/>
          <w:szCs w:val="16"/>
        </w:rPr>
        <w:t xml:space="preserve">Source: SWOT synthesised from the competitive, market and demand analysis in Sections 1–9. Full citations in References.</w:t>
      </w:r>
    </w:p>
    <w:p>
      <w:pPr>
        <w:pStyle w:val="Heading1"/>
        <w:pageBreakBefore/>
      </w:pPr>
      <w:r>
        <w:t xml:space="preserve">11. Risks &amp; Challenges</w:t>
      </w:r>
    </w:p>
    <w:p>
      <w:pPr>
        <w:spacing w:after="140" w:line="276"/>
      </w:pPr>
      <w:r>
        <w:rPr>
          <w:i/>
          <w:iCs/>
          <w:color w:val="595959"/>
        </w:rPr>
        <w:t xml:space="preserve">The business is viable, but four risks can sink it: commoditisation, delivery quality, cash-flow lumpiness and regulation. Each is manageable with deliberate strategy — listed below with mitigations.</w:t>
      </w:r>
    </w:p>
    <w:p>
      <w:pPr>
        <w:pStyle w:val="Heading2"/>
      </w:pPr>
      <w:r>
        <w:t xml:space="preserve">11.1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4460"/>
      </w:tblGrid>
      <w:tr>
        <w:trPr>
          <w:tblHeader/>
        </w:trPr>
        <w:tc>
          <w:tcPr>
            <w:tcW w:type="dxa" w:w="23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Risk</w:t>
            </w:r>
          </w:p>
        </w:tc>
        <w:tc>
          <w:tcPr>
            <w:tcW w:type="dxa" w:w="13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Likelihood</w:t>
            </w:r>
          </w:p>
        </w:tc>
        <w:tc>
          <w:tcPr>
            <w:tcW w:type="dxa" w:w="13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Impact</w:t>
            </w:r>
          </w:p>
        </w:tc>
        <w:tc>
          <w:tcPr>
            <w:tcW w:type="dxa" w:w="44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Mitigation</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Commoditisation of basic builds</w:t>
            </w:r>
          </w:p>
        </w:tc>
        <w:tc>
          <w:tcPr>
            <w:tcW w:type="dxa" w:w="1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High</w:t>
            </w:r>
          </w:p>
        </w:tc>
        <w:tc>
          <w:tcPr>
            <w:tcW w:type="dxa" w:w="1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High</w:t>
            </w:r>
          </w:p>
        </w:tc>
        <w:tc>
          <w:tcPr>
            <w:tcW w:type="dxa" w:w="44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Move up to vertical IP, outcomes, managed services; avoid competing on commodity dev price</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Delivery quality / failed projects</w:t>
            </w:r>
          </w:p>
        </w:tc>
        <w:tc>
          <w:tcPr>
            <w:tcW w:type="dxa" w:w="1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1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High</w:t>
            </w:r>
          </w:p>
        </w:tc>
        <w:tc>
          <w:tcPr>
            <w:tcW w:type="dxa" w:w="44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Scope tightly, productise, set KPIs, pilot-first, strong PM and QA</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Cash-flow lumpiness (project reliance)</w:t>
            </w:r>
          </w:p>
        </w:tc>
        <w:tc>
          <w:tcPr>
            <w:tcW w:type="dxa" w:w="1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High</w:t>
            </w:r>
          </w:p>
        </w:tc>
        <w:tc>
          <w:tcPr>
            <w:tcW w:type="dxa" w:w="1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44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Build recurring retainers fast; keep burn low; milestone billing</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Talent scarcity / attrition</w:t>
            </w:r>
          </w:p>
        </w:tc>
        <w:tc>
          <w:tcPr>
            <w:tcW w:type="dxa" w:w="1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1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44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AI-leverage small team; train juniors; partner/contractor bench; equity for key hires</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Tech disruption (model/platform shift)</w:t>
            </w:r>
          </w:p>
        </w:tc>
        <w:tc>
          <w:tcPr>
            <w:tcW w:type="dxa" w:w="1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1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44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Stay model-agnostic; abstract vendors; continuous learning</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Incumbents move down-market</w:t>
            </w:r>
          </w:p>
        </w:tc>
        <w:tc>
          <w:tcPr>
            <w:tcW w:type="dxa" w:w="1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1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44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Out-niche and out-speed them; own SME relationships they can't service profitably</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Client over-dependence</w:t>
            </w:r>
          </w:p>
        </w:tc>
        <w:tc>
          <w:tcPr>
            <w:tcW w:type="dxa" w:w="1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1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High</w:t>
            </w:r>
          </w:p>
        </w:tc>
        <w:tc>
          <w:tcPr>
            <w:tcW w:type="dxa" w:w="44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Diversify client base; no single client &gt;20–25% of revenue</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Data security / breach</w:t>
            </w:r>
          </w:p>
        </w:tc>
        <w:tc>
          <w:tcPr>
            <w:tcW w:type="dxa" w:w="1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Low-Med</w:t>
            </w:r>
          </w:p>
        </w:tc>
        <w:tc>
          <w:tcPr>
            <w:tcW w:type="dxa" w:w="1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High</w:t>
            </w:r>
          </w:p>
        </w:tc>
        <w:tc>
          <w:tcPr>
            <w:tcW w:type="dxa" w:w="44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Security-by-design, NDAs, least-privilege, audits, cyber-insurance</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Regulatory (DPDP, EU AI Act, sectoral)</w:t>
            </w:r>
          </w:p>
        </w:tc>
        <w:tc>
          <w:tcPr>
            <w:tcW w:type="dxa" w:w="1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1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Med-High</w:t>
            </w:r>
          </w:p>
        </w:tc>
        <w:tc>
          <w:tcPr>
            <w:tcW w:type="dxa" w:w="44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Build governance into delivery; legal review; data-residency options</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AI hallucination / liability</w:t>
            </w:r>
          </w:p>
        </w:tc>
        <w:tc>
          <w:tcPr>
            <w:tcW w:type="dxa" w:w="1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1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Med</w:t>
            </w:r>
          </w:p>
        </w:tc>
        <w:tc>
          <w:tcPr>
            <w:tcW w:type="dxa" w:w="44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Human-in-loop, guardrails, disclaimers, scoped contracts, evals</w:t>
            </w:r>
          </w:p>
        </w:tc>
      </w:tr>
    </w:tbl>
    <w:p>
      <w:pPr>
        <w:pStyle w:val="Heading2"/>
      </w:pPr>
      <w:r>
        <w:t xml:space="preserve">11.2 Market &amp; Competitive Threats</w:t>
      </w:r>
    </w:p>
    <w:p>
      <w:pPr>
        <w:pStyle w:val="ListParagraph"/>
        <w:numPr>
          <w:ilvl w:val="0"/>
          <w:numId w:val="2"/>
        </w:numPr>
        <w:spacing w:after="40" w:line="264"/>
      </w:pPr>
      <w:r>
        <w:t xml:space="preserve">Race-to-the-bottom pricing from app/dev shops adding 'AI' as a buzzword — defend with outcomes + proof.</w:t>
      </w:r>
    </w:p>
    <w:p>
      <w:pPr>
        <w:pStyle w:val="ListParagraph"/>
        <w:numPr>
          <w:ilvl w:val="0"/>
          <w:numId w:val="2"/>
        </w:numPr>
        <w:spacing w:after="40" w:line="264"/>
      </w:pPr>
      <w:r>
        <w:t xml:space="preserve">Platform players (OpenAI, hyperscalers, ServiceNow) absorbing functionality you sell — ride them as partners, not rivals.</w:t>
      </w:r>
    </w:p>
    <w:p>
      <w:pPr>
        <w:pStyle w:val="ListParagraph"/>
        <w:numPr>
          <w:ilvl w:val="0"/>
          <w:numId w:val="2"/>
        </w:numPr>
        <w:spacing w:after="40" w:line="264"/>
      </w:pPr>
      <w:r>
        <w:t xml:space="preserve">Buyer fatigue/skepticism after over-hyped pilots — lead with ROI guarantees and references.</w:t>
      </w:r>
    </w:p>
    <w:p>
      <w:pPr>
        <w:pStyle w:val="Heading2"/>
      </w:pPr>
      <w:r>
        <w:t xml:space="preserve">11.3 Legal, Regulatory &amp; Ethical</w:t>
      </w:r>
    </w:p>
    <w:p>
      <w:pPr>
        <w:pStyle w:val="ListParagraph"/>
        <w:numPr>
          <w:ilvl w:val="0"/>
          <w:numId w:val="2"/>
        </w:numPr>
        <w:spacing w:after="40" w:line="264"/>
      </w:pPr>
      <w:r>
        <w:rPr>
          <w:b/>
          <w:bCs/>
        </w:rPr>
        <w:t xml:space="preserve">India DPDP Act 2023: </w:t>
      </w:r>
      <w:r>
        <w:t xml:space="preserve">data-processing consent, security obligations — bake into every build.</w:t>
      </w:r>
    </w:p>
    <w:p>
      <w:pPr>
        <w:pStyle w:val="ListParagraph"/>
        <w:numPr>
          <w:ilvl w:val="0"/>
          <w:numId w:val="2"/>
        </w:numPr>
        <w:spacing w:after="40" w:line="264"/>
      </w:pPr>
      <w:r>
        <w:rPr>
          <w:b/>
          <w:bCs/>
        </w:rPr>
        <w:t xml:space="preserve">EU AI Act / global AI rules: </w:t>
      </w:r>
      <w:r>
        <w:t xml:space="preserve">risk-tiering, transparency, documentation for EU clients.</w:t>
      </w:r>
    </w:p>
    <w:p>
      <w:pPr>
        <w:pStyle w:val="ListParagraph"/>
        <w:numPr>
          <w:ilvl w:val="0"/>
          <w:numId w:val="2"/>
        </w:numPr>
        <w:spacing w:after="40" w:line="264"/>
      </w:pPr>
      <w:r>
        <w:rPr>
          <w:b/>
          <w:bCs/>
        </w:rPr>
        <w:t xml:space="preserve">IP &amp; contracts: </w:t>
      </w:r>
      <w:r>
        <w:t xml:space="preserve">clear ownership of code/models/data; reusable-IP clauses to protect your assets.</w:t>
      </w:r>
    </w:p>
    <w:p>
      <w:pPr>
        <w:pStyle w:val="ListParagraph"/>
        <w:numPr>
          <w:ilvl w:val="0"/>
          <w:numId w:val="2"/>
        </w:numPr>
        <w:spacing w:after="40" w:line="264"/>
      </w:pPr>
      <w:r>
        <w:rPr>
          <w:b/>
          <w:bCs/>
        </w:rPr>
        <w:t xml:space="preserve">Sectoral compliance: </w:t>
      </w:r>
      <w:r>
        <w:t xml:space="preserve">BFSI (RBI), healthcare (data sensitivity), depending on verticals served.</w:t>
      </w:r>
    </w:p>
    <w:p>
      <w:pPr>
        <w:spacing w:after="160"/>
      </w:pPr>
      <w:r>
        <w:rPr>
          <w:i/>
          <w:iCs/>
          <w:color w:val="595959"/>
          <w:sz w:val="16"/>
          <w:szCs w:val="16"/>
        </w:rPr>
        <w:t xml:space="preserve">Source: Risk framework synthesised from AI-services delivery practice, India DPDP Act 2023, EU AI Act, and analyst risk commentary (2024–2026). Full citations in References.</w:t>
      </w:r>
    </w:p>
    <w:p>
      <w:pPr>
        <w:pStyle w:val="Heading1"/>
        <w:pageBreakBefore/>
      </w:pPr>
      <w:r>
        <w:t xml:space="preserve">12. Recommended Services to Start First</w:t>
      </w:r>
    </w:p>
    <w:p>
      <w:pPr>
        <w:spacing w:after="140" w:line="276"/>
      </w:pPr>
      <w:r>
        <w:rPr>
          <w:i/>
          <w:iCs/>
          <w:color w:val="595959"/>
        </w:rPr>
        <w:t xml:space="preserve">Lead with services that are fast to sell, fast to deliver, recurring, and deliverable by a lean AI-native team. The Top-10 below are ranked on a blend of demand, ease-of-sale, recurring revenue and delivery feasibility.</w:t>
      </w:r>
    </w:p>
    <w:p>
      <w:pPr>
        <w:pStyle w:val="Heading2"/>
      </w:pPr>
      <w:r>
        <w:t xml:space="preserve">12.1 Top 10 Launch Services (Ranked)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2700"/>
        <w:gridCol w:w="3340"/>
        <w:gridCol w:w="2700"/>
      </w:tblGrid>
      <w:tr>
        <w:trPr>
          <w:tblHeader/>
        </w:trPr>
        <w:tc>
          <w:tcPr>
            <w:tcW w:type="dxa" w:w="62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w:t>
            </w:r>
          </w:p>
        </w:tc>
        <w:tc>
          <w:tcPr>
            <w:tcW w:type="dxa" w:w="2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Service</w:t>
            </w:r>
          </w:p>
        </w:tc>
        <w:tc>
          <w:tcPr>
            <w:tcW w:type="dxa" w:w="334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Why start here</w:t>
            </w:r>
          </w:p>
        </w:tc>
        <w:tc>
          <w:tcPr>
            <w:tcW w:type="dxa" w:w="2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Model</w:t>
            </w:r>
          </w:p>
        </w:tc>
      </w:tr>
      <w:tr>
        <w:trPr>
          <w:tblHeader w:val="false"/>
        </w:trPr>
        <w:tc>
          <w:tcPr>
            <w:tcW w:type="dxa" w:w="6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1</w:t>
            </w:r>
          </w:p>
        </w:tc>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AI Chatbots / WhatsApp + RAG support bots</w:t>
            </w:r>
          </w:p>
        </w:tc>
        <w:tc>
          <w:tcPr>
            <w:tcW w:type="dxa" w:w="33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Huge demand, short build, killer demo, instant ROI story</w:t>
            </w:r>
          </w:p>
        </w:tc>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Setup + monthly retainer</w:t>
            </w:r>
          </w:p>
        </w:tc>
      </w:tr>
      <w:tr>
        <w:trPr>
          <w:tblHeader w:val="false"/>
        </w:trPr>
        <w:tc>
          <w:tcPr>
            <w:tcW w:type="dxa" w:w="6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2</w:t>
            </w:r>
          </w:p>
        </w:tc>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Lead-gen &amp; Sales Automation</w:t>
            </w:r>
          </w:p>
        </w:tc>
        <w:tc>
          <w:tcPr>
            <w:tcW w:type="dxa" w:w="33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Every business wants growth; performance-linked; recurring</w:t>
            </w:r>
          </w:p>
        </w:tc>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Setup + monthly retainer</w:t>
            </w:r>
          </w:p>
        </w:tc>
      </w:tr>
      <w:tr>
        <w:trPr>
          <w:tblHeader w:val="false"/>
        </w:trPr>
        <w:tc>
          <w:tcPr>
            <w:tcW w:type="dxa" w:w="6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3</w:t>
            </w:r>
          </w:p>
        </w:tc>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Workflow / Business-Process Automation</w:t>
            </w:r>
          </w:p>
        </w:tc>
        <w:tc>
          <w:tcPr>
            <w:tcW w:type="dxa" w:w="33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High pain, clear ROI, sticky 'build + run'</w:t>
            </w:r>
          </w:p>
        </w:tc>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Build + managed retainer</w:t>
            </w:r>
          </w:p>
        </w:tc>
      </w:tr>
      <w:tr>
        <w:trPr>
          <w:tblHeader w:val="false"/>
        </w:trPr>
        <w:tc>
          <w:tcPr>
            <w:tcW w:type="dxa" w:w="6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4</w:t>
            </w:r>
          </w:p>
        </w:tc>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AI Marketing &amp; Content Automation</w:t>
            </w:r>
          </w:p>
        </w:tc>
        <w:tc>
          <w:tcPr>
            <w:tcW w:type="dxa" w:w="33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Low risk, recurring, easy upsell, fast delivery</w:t>
            </w:r>
          </w:p>
        </w:tc>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Monthly retainer</w:t>
            </w:r>
          </w:p>
        </w:tc>
      </w:tr>
      <w:tr>
        <w:trPr>
          <w:tblHeader w:val="false"/>
        </w:trPr>
        <w:tc>
          <w:tcPr>
            <w:tcW w:type="dxa" w:w="6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5</w:t>
            </w:r>
          </w:p>
        </w:tc>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Analytics &amp; BI Dashboards</w:t>
            </w:r>
          </w:p>
        </w:tc>
        <w:tc>
          <w:tcPr>
            <w:tcW w:type="dxa" w:w="33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Visible value; gateway to bigger transformation work</w:t>
            </w:r>
          </w:p>
        </w:tc>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Project + support sub.</w:t>
            </w:r>
          </w:p>
        </w:tc>
      </w:tr>
      <w:tr>
        <w:trPr>
          <w:tblHeader w:val="false"/>
        </w:trPr>
        <w:tc>
          <w:tcPr>
            <w:tcW w:type="dxa" w:w="6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6</w:t>
            </w:r>
          </w:p>
        </w:tc>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AI Voice Agents (booking/support)</w:t>
            </w:r>
          </w:p>
        </w:tc>
        <w:tc>
          <w:tcPr>
            <w:tcW w:type="dxa" w:w="33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Fast-rising; high-impact for clinics, real estate, retail</w:t>
            </w:r>
          </w:p>
        </w:tc>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Build + usage/retainer</w:t>
            </w:r>
          </w:p>
        </w:tc>
      </w:tr>
      <w:tr>
        <w:trPr>
          <w:tblHeader w:val="false"/>
        </w:trPr>
        <w:tc>
          <w:tcPr>
            <w:tcW w:type="dxa" w:w="6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7</w:t>
            </w:r>
          </w:p>
        </w:tc>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CRM/ERP Setup + AI Automation</w:t>
            </w:r>
          </w:p>
        </w:tc>
        <w:tc>
          <w:tcPr>
            <w:tcW w:type="dxa" w:w="33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Mid-market staple; large + sticky; cross-sell hub</w:t>
            </w:r>
          </w:p>
        </w:tc>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Project + AMC</w:t>
            </w:r>
          </w:p>
        </w:tc>
      </w:tr>
      <w:tr>
        <w:trPr>
          <w:tblHeader w:val="false"/>
        </w:trPr>
        <w:tc>
          <w:tcPr>
            <w:tcW w:type="dxa" w:w="6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8</w:t>
            </w:r>
          </w:p>
        </w:tc>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AI Agents (vertical, productised)</w:t>
            </w:r>
          </w:p>
        </w:tc>
        <w:tc>
          <w:tcPr>
            <w:tcW w:type="dxa" w:w="33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Highest growth category; defensible IP</w:t>
            </w:r>
          </w:p>
        </w:tc>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Build + usage</w:t>
            </w:r>
          </w:p>
        </w:tc>
      </w:tr>
      <w:tr>
        <w:trPr>
          <w:tblHeader w:val="false"/>
        </w:trPr>
        <w:tc>
          <w:tcPr>
            <w:tcW w:type="dxa" w:w="62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9</w:t>
            </w:r>
          </w:p>
        </w:tc>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Website / Web-App + AI features</w:t>
            </w:r>
          </w:p>
        </w:tc>
        <w:tc>
          <w:tcPr>
            <w:tcW w:type="dxa" w:w="334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Easy entry door, cash flow, leads to deeper work</w:t>
            </w:r>
          </w:p>
        </w:tc>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Project (+ care plan)</w:t>
            </w:r>
          </w:p>
        </w:tc>
      </w:tr>
      <w:tr>
        <w:trPr>
          <w:tblHeader w:val="false"/>
        </w:trPr>
        <w:tc>
          <w:tcPr>
            <w:tcW w:type="dxa" w:w="62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10</w:t>
            </w:r>
          </w:p>
        </w:tc>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Digital-Transformation / AI-readiness Advisory</w:t>
            </w:r>
          </w:p>
        </w:tc>
        <w:tc>
          <w:tcPr>
            <w:tcW w:type="dxa" w:w="334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High-trust entry; pulls through all of the above</w:t>
            </w:r>
          </w:p>
        </w:tc>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Advisory retainer</w:t>
            </w:r>
          </w:p>
        </w:tc>
      </w:tr>
    </w:tbl>
    <w:p>
      <w:pPr>
        <w:pStyle w:val="Heading2"/>
      </w:pPr>
      <w:r>
        <w:t xml:space="preserve">12.2 Why This Ranking</w:t>
      </w:r>
    </w:p>
    <w:p>
      <w:pPr>
        <w:pStyle w:val="ListParagraph"/>
        <w:numPr>
          <w:ilvl w:val="0"/>
          <w:numId w:val="2"/>
        </w:numPr>
        <w:spacing w:after="40" w:line="264"/>
      </w:pPr>
      <w:r>
        <w:t xml:space="preserve">#1–4 are the cash engine: short cycles, recurring revenue, deliverable by 2–3 people, demo-able instantly.</w:t>
      </w:r>
    </w:p>
    <w:p>
      <w:pPr>
        <w:pStyle w:val="ListParagraph"/>
        <w:numPr>
          <w:ilvl w:val="0"/>
          <w:numId w:val="2"/>
        </w:numPr>
        <w:spacing w:after="40" w:line="264"/>
      </w:pPr>
      <w:r>
        <w:t xml:space="preserve">#5–7 raise deal size and stickiness once you have proof and a small team.</w:t>
      </w:r>
    </w:p>
    <w:p>
      <w:pPr>
        <w:pStyle w:val="ListParagraph"/>
        <w:numPr>
          <w:ilvl w:val="0"/>
          <w:numId w:val="2"/>
        </w:numPr>
        <w:spacing w:after="40" w:line="264"/>
      </w:pPr>
      <w:r>
        <w:t xml:space="preserve">#8 (vertical AI agents) is where you build durable IP and the highest margins as you mature.</w:t>
      </w:r>
    </w:p>
    <w:p>
      <w:pPr>
        <w:pStyle w:val="ListParagraph"/>
        <w:numPr>
          <w:ilvl w:val="0"/>
          <w:numId w:val="2"/>
        </w:numPr>
        <w:spacing w:after="40" w:line="264"/>
      </w:pPr>
      <w:r>
        <w:t xml:space="preserve">#9–10 are door-openers — low-friction entry that pulls through higher-value work.</w:t>
      </w:r>
    </w:p>
    <w:p>
      <w:pPr>
        <w:pStyle w:val="Heading2"/>
      </w:pPr>
      <w:r>
        <w:t xml:space="preserve">12.3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Launch sequence</w:t>
            </w:r>
          </w:p>
          <w:p>
            <w:pPr>
              <w:spacing w:after="40"/>
            </w:pPr>
            <w:r>
              <w:rPr>
                <w:sz w:val="18"/>
                <w:szCs w:val="18"/>
              </w:rPr>
              <w:t xml:space="preserve">Months 0–3: Master #1, #2, #4 (chatbots, lead-gen, marketing automation). Build demos + first case studies.</w:t>
            </w:r>
          </w:p>
          <w:p>
            <w:pPr>
              <w:spacing w:after="40"/>
            </w:pPr>
            <w:r>
              <w:rPr>
                <w:sz w:val="18"/>
                <w:szCs w:val="18"/>
              </w:rPr>
              <w:t xml:space="preserve">Months 3–6: Add #3, #5 (workflow automation, dashboards). Convert clients to retainers.</w:t>
            </w:r>
          </w:p>
          <w:p>
            <w:pPr>
              <w:spacing w:after="40"/>
            </w:pPr>
            <w:r>
              <w:rPr>
                <w:sz w:val="18"/>
                <w:szCs w:val="18"/>
              </w:rPr>
              <w:t xml:space="preserve">Months 6–12: Add #6, #7, #8 (voice agents, CRM/ERP, vertical agents). Begin productising into subscriptions.</w:t>
            </w:r>
          </w:p>
          <w:p>
            <w:pPr>
              <w:spacing w:after="40"/>
            </w:pPr>
            <w:r>
              <w:rPr>
                <w:sz w:val="18"/>
                <w:szCs w:val="18"/>
              </w:rPr>
              <w:t xml:space="preserve">Always pair every project with a recurring component.</w:t>
            </w:r>
          </w:p>
        </w:tc>
      </w:tr>
    </w:tbl>
    <w:p>
      <w:pPr>
        <w:pStyle w:val="Heading1"/>
        <w:pageBreakBefore/>
      </w:pPr>
      <w:r>
        <w:t xml:space="preserve">13. Blue Ocean Opportunities</w:t>
      </w:r>
    </w:p>
    <w:p>
      <w:pPr>
        <w:spacing w:after="140" w:line="276"/>
      </w:pPr>
      <w:r>
        <w:rPr>
          <w:i/>
          <w:iCs/>
          <w:color w:val="595959"/>
        </w:rPr>
        <w:t xml:space="preserve">Where competition is thin and pain is high. The biggest white space is everything the giants ignore: small deals, vernacular markets, specific verticals, and the unglamorous 'make AI actually work in production' problem.</w:t>
      </w:r>
    </w:p>
    <w:p>
      <w:pPr>
        <w:pStyle w:val="Heading2"/>
      </w:pPr>
      <w:r>
        <w:t xml:space="preserve">13.1 Under-Served Markets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Blue-ocean space</w:t>
            </w:r>
          </w:p>
        </w:tc>
        <w:tc>
          <w:tcPr>
            <w:tcW w:type="dxa" w:w="66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Why it's open + how to win</w:t>
            </w:r>
          </w:p>
        </w:tc>
      </w:tr>
      <w:tr>
        <w:trPr>
          <w:tblHeader w:val="false"/>
        </w:trPr>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SME/MSME productised AI</w:t>
            </w:r>
          </w:p>
        </w:tc>
        <w:tc>
          <w:tcPr>
            <w:tcW w:type="dxa" w:w="6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63 M Indian MSMEs, low AI adoption, ignored by majors. Win with cheap, packaged, subscription AI [14].</w:t>
            </w:r>
          </w:p>
        </w:tc>
      </w:tr>
      <w:tr>
        <w:trPr>
          <w:tblHeader w:val="false"/>
        </w:trPr>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Vernacular / regional-language AI</w:t>
            </w:r>
          </w:p>
        </w:tc>
        <w:tc>
          <w:tcPr>
            <w:tcW w:type="dxa" w:w="6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Tier-2/3 businesses + their customers need Hindi/Gujarati/regional bots &amp; voice. Almost no productised players.</w:t>
            </w:r>
          </w:p>
        </w:tc>
      </w:tr>
      <w:tr>
        <w:trPr>
          <w:tblHeader w:val="false"/>
        </w:trPr>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Gujarat industrial verticals</w:t>
            </w:r>
          </w:p>
        </w:tc>
        <w:tc>
          <w:tcPr>
            <w:tcW w:type="dxa" w:w="6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Textile, chemicals, pharma, ceramics, gems, agro/food, exports — specific, high-pain, low-competition for tailored AI.</w:t>
            </w:r>
          </w:p>
        </w:tc>
      </w:tr>
      <w:tr>
        <w:trPr>
          <w:tblHeader w:val="false"/>
        </w:trPr>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Export documentation &amp; compliance</w:t>
            </w:r>
          </w:p>
        </w:tc>
        <w:tc>
          <w:tcPr>
            <w:tcW w:type="dxa" w:w="6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Massive in Gujarat/Surat/Mumbai; document + multilingual comms automation is barely productised.</w:t>
            </w:r>
          </w:p>
        </w:tc>
      </w:tr>
      <w:tr>
        <w:trPr>
          <w:tblHeader w:val="false"/>
        </w:trPr>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AI pilot-rescue &amp; governance</w:t>
            </w:r>
          </w:p>
        </w:tc>
        <w:tc>
          <w:tcPr>
            <w:tcW w:type="dxa" w:w="6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Thousands of stalled GenAI pilots; a 'make it work + govern it' offer has little direct competition.</w:t>
            </w:r>
          </w:p>
        </w:tc>
      </w:tr>
      <w:tr>
        <w:trPr>
          <w:tblHeader w:val="false"/>
        </w:trPr>
        <w:tc>
          <w:tcPr>
            <w:tcW w:type="dxa" w:w="2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Vertical voice agents</w:t>
            </w:r>
          </w:p>
        </w:tc>
        <w:tc>
          <w:tcPr>
            <w:tcW w:type="dxa" w:w="6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Clinics, dealerships, real estate, restaurants — per-location subscription voice AI; fragmented, under-served.</w:t>
            </w:r>
          </w:p>
        </w:tc>
      </w:tr>
      <w:tr>
        <w:trPr>
          <w:tblHeader w:val="false"/>
        </w:trPr>
        <w:tc>
          <w:tcPr>
            <w:tcW w:type="dxa" w:w="2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AI for traditional family businesses</w:t>
            </w:r>
          </w:p>
        </w:tc>
        <w:tc>
          <w:tcPr>
            <w:tcW w:type="dxa" w:w="6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Owner-led firms with zero digital maturity; huge TAM, needs trust + handholding the majors won't give.</w:t>
            </w:r>
          </w:p>
        </w:tc>
      </w:tr>
    </w:tbl>
    <w:p>
      <w:pPr>
        <w:pStyle w:val="Heading2"/>
      </w:pPr>
      <w:r>
        <w:t xml:space="preserve">13.2 Hidden Opportunities</w:t>
      </w:r>
    </w:p>
    <w:p>
      <w:pPr>
        <w:pStyle w:val="ListParagraph"/>
        <w:numPr>
          <w:ilvl w:val="0"/>
          <w:numId w:val="2"/>
        </w:numPr>
        <w:spacing w:after="40" w:line="264"/>
      </w:pPr>
      <w:r>
        <w:t xml:space="preserve">'AI Ops as a Service' — ongoing monitoring/retraining/improvement of deployed AI (recurring, defensible).</w:t>
      </w:r>
    </w:p>
    <w:p>
      <w:pPr>
        <w:pStyle w:val="ListParagraph"/>
        <w:numPr>
          <w:ilvl w:val="0"/>
          <w:numId w:val="2"/>
        </w:numPr>
        <w:spacing w:after="40" w:line="264"/>
      </w:pPr>
      <w:r>
        <w:t xml:space="preserve">Micro-SaaS spun out of repeated client solutions (e.g., a dealership lead-bot product).</w:t>
      </w:r>
    </w:p>
    <w:p>
      <w:pPr>
        <w:pStyle w:val="ListParagraph"/>
        <w:numPr>
          <w:ilvl w:val="0"/>
          <w:numId w:val="2"/>
        </w:numPr>
        <w:spacing w:after="40" w:line="264"/>
      </w:pPr>
      <w:r>
        <w:t xml:space="preserve">Industry-association / cluster deals — sell one productised solution to many members of a GIDC cluster or export council.</w:t>
      </w:r>
    </w:p>
    <w:p>
      <w:pPr>
        <w:pStyle w:val="ListParagraph"/>
        <w:numPr>
          <w:ilvl w:val="0"/>
          <w:numId w:val="2"/>
        </w:numPr>
        <w:spacing w:after="40" w:line="264"/>
      </w:pPr>
      <w:r>
        <w:t xml:space="preserve">White-label AI for agencies — power web/marketing agencies' 'AI offerings' as their backend.</w:t>
      </w:r>
    </w:p>
    <w:p>
      <w:pPr>
        <w:pStyle w:val="ListParagraph"/>
        <w:numPr>
          <w:ilvl w:val="0"/>
          <w:numId w:val="2"/>
        </w:numPr>
        <w:spacing w:after="40" w:line="264"/>
      </w:pPr>
      <w:r>
        <w:t xml:space="preserve">AI-readiness audits as a paid wedge — low-cost entry that maps every future project.</w:t>
      </w:r>
    </w:p>
    <w:p>
      <w:pPr>
        <w:pStyle w:val="Heading2"/>
      </w:pPr>
      <w:r>
        <w:t xml:space="preserve">13.3 Blue-Ocean Strategy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The unguarded edge</w:t>
            </w:r>
          </w:p>
          <w:p>
            <w:pPr>
              <w:spacing w:after="40"/>
            </w:pPr>
            <w:r>
              <w:rPr>
                <w:sz w:val="18"/>
                <w:szCs w:val="18"/>
              </w:rPr>
              <w:t xml:space="preserve">Don't fight giants for enterprise top-down. Own the SME/vertical bottom-up market they can't serve profitably.</w:t>
            </w:r>
          </w:p>
          <w:p>
            <w:pPr>
              <w:spacing w:after="40"/>
            </w:pPr>
            <w:r>
              <w:rPr>
                <w:sz w:val="18"/>
                <w:szCs w:val="18"/>
              </w:rPr>
              <w:t xml:space="preserve">Be the specialist for a specific industry + region + outcome — not a generalist 'AI company'.</w:t>
            </w:r>
          </w:p>
          <w:p>
            <w:pPr>
              <w:spacing w:after="40"/>
            </w:pPr>
            <w:r>
              <w:rPr>
                <w:sz w:val="18"/>
                <w:szCs w:val="18"/>
              </w:rPr>
              <w:t xml:space="preserve">Productise + subscribe: turn services into repeatable products with recurring revenue.</w:t>
            </w:r>
          </w:p>
          <w:p>
            <w:pPr>
              <w:spacing w:after="40"/>
            </w:pPr>
            <w:r>
              <w:rPr>
                <w:sz w:val="18"/>
                <w:szCs w:val="18"/>
              </w:rPr>
              <w:t xml:space="preserve">Use vernacular + local trust + AI-native cost as moats competitors can't quickly copy.</w:t>
            </w:r>
          </w:p>
        </w:tc>
      </w:tr>
    </w:tbl>
    <w:p>
      <w:pPr>
        <w:pStyle w:val="Heading1"/>
        <w:pageBreakBefore/>
      </w:pPr>
      <w:r>
        <w:t xml:space="preserve">14. 12-Month Implementation Roadmap</w:t>
      </w:r>
    </w:p>
    <w:p>
      <w:pPr>
        <w:spacing w:after="140" w:line="276"/>
      </w:pPr>
      <w:r>
        <w:rPr>
          <w:i/>
          <w:iCs/>
          <w:color w:val="595959"/>
        </w:rPr>
        <w:t xml:space="preserve">A focused, capital-light 12-month plan: validate → land first clients → build recurring revenue → productise → scale delivery and geography. Targets are illustrative for a lean founder-led launch.</w:t>
      </w:r>
    </w:p>
    <w:p>
      <w:pPr>
        <w:pStyle w:val="Heading2"/>
      </w:pPr>
      <w:r>
        <w:t xml:space="preserve">14.1 Month-by-Month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3400"/>
        <w:gridCol w:w="2400"/>
        <w:gridCol w:w="2410"/>
      </w:tblGrid>
      <w:tr>
        <w:trPr>
          <w:tblHeader/>
        </w:trPr>
        <w:tc>
          <w:tcPr>
            <w:tcW w:type="dxa" w:w="115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Month</w:t>
            </w:r>
          </w:p>
        </w:tc>
        <w:tc>
          <w:tcPr>
            <w:tcW w:type="dxa" w:w="34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Focus &amp; key actions</w:t>
            </w:r>
          </w:p>
        </w:tc>
        <w:tc>
          <w:tcPr>
            <w:tcW w:type="dxa" w:w="24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Goal / KPI</w:t>
            </w:r>
          </w:p>
        </w:tc>
        <w:tc>
          <w:tcPr>
            <w:tcW w:type="dxa" w:w="241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4"/>
                <w:szCs w:val="14"/>
              </w:rPr>
              <w:t xml:space="preserve">Build/Hire</w:t>
            </w:r>
          </w:p>
        </w:tc>
      </w:tr>
      <w:tr>
        <w:trPr>
          <w:tblHeader w:val="false"/>
        </w:trPr>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w:t>
            </w:r>
          </w:p>
        </w:tc>
        <w:tc>
          <w:tcPr>
            <w:tcW w:type="dxa" w:w="3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Pick niche(s) + 5 core services; brand, site, demos; define offers/pricing</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Positioning + 3 demo assets live</w:t>
            </w:r>
          </w:p>
        </w:tc>
        <w:tc>
          <w:tcPr>
            <w:tcW w:type="dxa" w:w="24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Founder + 1 eng/PM</w:t>
            </w:r>
          </w:p>
        </w:tc>
      </w:tr>
      <w:tr>
        <w:trPr>
          <w:tblHeader w:val="false"/>
        </w:trPr>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w:t>
            </w:r>
          </w:p>
        </w:tc>
        <w:tc>
          <w:tcPr>
            <w:tcW w:type="dxa" w:w="3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Launch outbound (LinkedIn, email, WhatsApp); build lead lists; first calls</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30+ meetings booked</w:t>
            </w:r>
          </w:p>
        </w:tc>
        <w:tc>
          <w:tcPr>
            <w:tcW w:type="dxa" w:w="24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 SDR/intern</w:t>
            </w:r>
          </w:p>
        </w:tc>
      </w:tr>
      <w:tr>
        <w:trPr>
          <w:tblHeader w:val="false"/>
        </w:trPr>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w:t>
            </w:r>
          </w:p>
        </w:tc>
        <w:tc>
          <w:tcPr>
            <w:tcW w:type="dxa" w:w="3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Close first 3–5 paid pilots; deliver fast; capture results</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₹3–8L / $5–15k revenue; 3 case studies</w:t>
            </w:r>
          </w:p>
        </w:tc>
        <w:tc>
          <w:tcPr>
            <w:tcW w:type="dxa" w:w="24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 eng (contract)</w:t>
            </w:r>
          </w:p>
        </w:tc>
      </w:tr>
      <w:tr>
        <w:trPr>
          <w:tblHeader w:val="false"/>
        </w:trPr>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4</w:t>
            </w:r>
          </w:p>
        </w:tc>
        <w:tc>
          <w:tcPr>
            <w:tcW w:type="dxa" w:w="3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Convert pilots to retainers; refine offers; double outbound</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First recurring MRR; 6–8 clients</w:t>
            </w:r>
          </w:p>
        </w:tc>
        <w:tc>
          <w:tcPr>
            <w:tcW w:type="dxa" w:w="24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w:t>
            </w:r>
          </w:p>
        </w:tc>
      </w:tr>
      <w:tr>
        <w:trPr>
          <w:tblHeader w:val="false"/>
        </w:trPr>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5</w:t>
            </w:r>
          </w:p>
        </w:tc>
        <w:tc>
          <w:tcPr>
            <w:tcW w:type="dxa" w:w="3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Add workflow automation + dashboards; publish case studies/content</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MRR growing; inbound starts</w:t>
            </w:r>
          </w:p>
        </w:tc>
        <w:tc>
          <w:tcPr>
            <w:tcW w:type="dxa" w:w="24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 delivery</w:t>
            </w:r>
          </w:p>
        </w:tc>
      </w:tr>
      <w:tr>
        <w:trPr>
          <w:tblHeader w:val="false"/>
        </w:trPr>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6</w:t>
            </w:r>
          </w:p>
        </w:tc>
        <w:tc>
          <w:tcPr>
            <w:tcW w:type="dxa" w:w="3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First Gulf/export client; partnerships (hyperscaler/agency)</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10–15 clients; 1 export logo</w:t>
            </w:r>
          </w:p>
        </w:tc>
        <w:tc>
          <w:tcPr>
            <w:tcW w:type="dxa" w:w="24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 sales</w:t>
            </w:r>
          </w:p>
        </w:tc>
      </w:tr>
      <w:tr>
        <w:trPr>
          <w:tblHeader w:val="false"/>
        </w:trPr>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7</w:t>
            </w:r>
          </w:p>
        </w:tc>
        <w:tc>
          <w:tcPr>
            <w:tcW w:type="dxa" w:w="3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Productise top 2 services into packages/subscriptions</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2 productised offers; higher close rate</w:t>
            </w:r>
          </w:p>
        </w:tc>
        <w:tc>
          <w:tcPr>
            <w:tcW w:type="dxa" w:w="24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w:t>
            </w:r>
          </w:p>
        </w:tc>
      </w:tr>
      <w:tr>
        <w:trPr>
          <w:tblHeader w:val="false"/>
        </w:trPr>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8</w:t>
            </w:r>
          </w:p>
        </w:tc>
        <w:tc>
          <w:tcPr>
            <w:tcW w:type="dxa" w:w="3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Add voice agents + CRM/ERP; raise deal sizes</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Avg deal size up 30–50%</w:t>
            </w:r>
          </w:p>
        </w:tc>
        <w:tc>
          <w:tcPr>
            <w:tcW w:type="dxa" w:w="24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+1–2 eng</w:t>
            </w:r>
          </w:p>
        </w:tc>
      </w:tr>
      <w:tr>
        <w:trPr>
          <w:tblHeader w:val="false"/>
        </w:trPr>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9</w:t>
            </w:r>
          </w:p>
        </w:tc>
        <w:tc>
          <w:tcPr>
            <w:tcW w:type="dxa" w:w="3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Systematise delivery (SOPs, QA, MLOps); reduce founder load</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Delivery runs without founder</w:t>
            </w:r>
          </w:p>
        </w:tc>
        <w:tc>
          <w:tcPr>
            <w:tcW w:type="dxa" w:w="24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Delivery lead</w:t>
            </w:r>
          </w:p>
        </w:tc>
      </w:tr>
      <w:tr>
        <w:trPr>
          <w:tblHeader w:val="false"/>
        </w:trPr>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10</w:t>
            </w:r>
          </w:p>
        </w:tc>
        <w:tc>
          <w:tcPr>
            <w:tcW w:type="dxa" w:w="3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Scale outbound + content; expand US/UK pipeline</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20–30 clients; pipeline 3× capacity</w:t>
            </w:r>
          </w:p>
        </w:tc>
        <w:tc>
          <w:tcPr>
            <w:tcW w:type="dxa" w:w="24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+1–2 sales/SDR</w:t>
            </w:r>
          </w:p>
        </w:tc>
      </w:tr>
      <w:tr>
        <w:trPr>
          <w:tblHeader w:val="false"/>
        </w:trPr>
        <w:tc>
          <w:tcPr>
            <w:tcW w:type="dxa" w:w="115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11</w:t>
            </w:r>
          </w:p>
        </w:tc>
        <w:tc>
          <w:tcPr>
            <w:tcW w:type="dxa" w:w="3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Launch first micro-SaaS / IP from repeated solution</w:t>
            </w:r>
          </w:p>
        </w:tc>
        <w:tc>
          <w:tcPr>
            <w:tcW w:type="dxa" w:w="24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MVP live; first subscribers</w:t>
            </w:r>
          </w:p>
        </w:tc>
        <w:tc>
          <w:tcPr>
            <w:tcW w:type="dxa" w:w="241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4"/>
                <w:szCs w:val="14"/>
              </w:rPr>
              <w:t xml:space="preserve">Product eng</w:t>
            </w:r>
          </w:p>
        </w:tc>
      </w:tr>
      <w:tr>
        <w:trPr>
          <w:tblHeader w:val="false"/>
        </w:trPr>
        <w:tc>
          <w:tcPr>
            <w:tcW w:type="dxa" w:w="115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12</w:t>
            </w:r>
          </w:p>
        </w:tc>
        <w:tc>
          <w:tcPr>
            <w:tcW w:type="dxa" w:w="3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Review, optimise unit economics; plan Year-2 scale &amp; funding</w:t>
            </w:r>
          </w:p>
        </w:tc>
        <w:tc>
          <w:tcPr>
            <w:tcW w:type="dxa" w:w="24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Stable MRR, 55%+ margins, Year-2 plan</w:t>
            </w:r>
          </w:p>
        </w:tc>
        <w:tc>
          <w:tcPr>
            <w:tcW w:type="dxa" w:w="241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4"/>
                <w:szCs w:val="14"/>
              </w:rPr>
              <w:t xml:space="preserve">Team 10–15</w:t>
            </w:r>
          </w:p>
        </w:tc>
      </w:tr>
    </w:tbl>
    <w:p>
      <w:pPr>
        <w:pStyle w:val="Heading2"/>
      </w:pPr>
      <w:r>
        <w:t xml:space="preserve">14.2 Quarterly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Quarter</w:t>
            </w:r>
          </w:p>
        </w:tc>
        <w:tc>
          <w:tcPr>
            <w:tcW w:type="dxa" w:w="30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Theme</w:t>
            </w:r>
          </w:p>
        </w:tc>
        <w:tc>
          <w:tcPr>
            <w:tcW w:type="dxa" w:w="48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Target outcome</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Q1 (M1–3)</w:t>
            </w:r>
          </w:p>
        </w:tc>
        <w:tc>
          <w:tcPr>
            <w:tcW w:type="dxa" w:w="30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Validate &amp; Land</w:t>
            </w:r>
          </w:p>
        </w:tc>
        <w:tc>
          <w:tcPr>
            <w:tcW w:type="dxa" w:w="48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5–8 paying clients, 3 case studies, first revenue</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Q2 (M4–6)</w:t>
            </w:r>
          </w:p>
        </w:tc>
        <w:tc>
          <w:tcPr>
            <w:tcW w:type="dxa" w:w="30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Recurring &amp; Export</w:t>
            </w:r>
          </w:p>
        </w:tc>
        <w:tc>
          <w:tcPr>
            <w:tcW w:type="dxa" w:w="48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Retainer base, 10–15 clients, first export logo</w:t>
            </w:r>
          </w:p>
        </w:tc>
      </w:tr>
      <w:tr>
        <w:trPr>
          <w:tblHeader w:val="false"/>
        </w:trPr>
        <w:tc>
          <w:tcPr>
            <w:tcW w:type="dxa" w:w="1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Q3 (M7–9)</w:t>
            </w:r>
          </w:p>
        </w:tc>
        <w:tc>
          <w:tcPr>
            <w:tcW w:type="dxa" w:w="30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Productise &amp; Systematise</w:t>
            </w:r>
          </w:p>
        </w:tc>
        <w:tc>
          <w:tcPr>
            <w:tcW w:type="dxa" w:w="48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Packaged offers, bigger deals, founder-independent delivery</w:t>
            </w:r>
          </w:p>
        </w:tc>
      </w:tr>
      <w:tr>
        <w:trPr>
          <w:tblHeader w:val="false"/>
        </w:trPr>
        <w:tc>
          <w:tcPr>
            <w:tcW w:type="dxa" w:w="1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Q4 (M10–12)</w:t>
            </w:r>
          </w:p>
        </w:tc>
        <w:tc>
          <w:tcPr>
            <w:tcW w:type="dxa" w:w="30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Scale &amp; IP</w:t>
            </w:r>
          </w:p>
        </w:tc>
        <w:tc>
          <w:tcPr>
            <w:tcW w:type="dxa" w:w="48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20–30 clients, micro-SaaS MVP, Year-2 scale plan</w:t>
            </w:r>
          </w:p>
        </w:tc>
      </w:tr>
    </w:tbl>
    <w:p>
      <w:pPr>
        <w:pStyle w:val="Heading2"/>
      </w:pPr>
      <w:r>
        <w:t xml:space="preserve">14.3 Illustrative Revenue Trajectory</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700"/>
        <w:gridCol w:w="4760"/>
        <w:gridCol w:w="1900"/>
      </w:tblGrid>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Q1</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76"/>
              <w:gridCol w:w="4284"/>
            </w:tblGrid>
            <w:tr>
              <w:tc>
                <w:tcPr>
                  <w:tcW w:type="dxa" w:w="476"/>
                  <w:tcBorders>
                    <w:top w:val="none" w:color="FFFFFF" w:sz="0"/>
                    <w:left w:val="none" w:color="FFFFFF" w:sz="0"/>
                    <w:bottom w:val="none" w:color="FFFFFF" w:sz="0"/>
                    <w:right w:val="none" w:color="FFFFFF" w:sz="0"/>
                  </w:tcBorders>
                  <w:shd w:fill="548235" w:val="clear"/>
                  <w:tcMar>
                    <w:top w:type="dxa" w:w="30"/>
                    <w:left w:type="dxa" w:w="0"/>
                    <w:bottom w:type="dxa" w:w="30"/>
                    <w:right w:type="dxa" w:w="0"/>
                  </w:tcMar>
                </w:tcPr>
                <w:p>
                  <w:r>
                    <w:rPr>
                      <w:sz w:val="14"/>
                      <w:szCs w:val="14"/>
                    </w:rPr>
                    <w:t xml:space="preserve"/>
                  </w:r>
                </w:p>
              </w:tc>
              <w:tc>
                <w:tcPr>
                  <w:tcW w:type="dxa" w:w="4284"/>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₹6–12L / $10–20k</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Q2</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1309"/>
              <w:gridCol w:w="3451"/>
            </w:tblGrid>
            <w:tr>
              <w:tc>
                <w:tcPr>
                  <w:tcW w:type="dxa" w:w="1309"/>
                  <w:tcBorders>
                    <w:top w:val="none" w:color="FFFFFF" w:sz="0"/>
                    <w:left w:val="none" w:color="FFFFFF" w:sz="0"/>
                    <w:bottom w:val="none" w:color="FFFFFF" w:sz="0"/>
                    <w:right w:val="none" w:color="FFFFFF" w:sz="0"/>
                  </w:tcBorders>
                  <w:shd w:fill="548235" w:val="clear"/>
                  <w:tcMar>
                    <w:top w:type="dxa" w:w="30"/>
                    <w:left w:type="dxa" w:w="0"/>
                    <w:bottom w:type="dxa" w:w="30"/>
                    <w:right w:type="dxa" w:w="0"/>
                  </w:tcMar>
                </w:tcPr>
                <w:p>
                  <w:r>
                    <w:rPr>
                      <w:sz w:val="14"/>
                      <w:szCs w:val="14"/>
                    </w:rPr>
                    <w:t xml:space="preserve"/>
                  </w:r>
                </w:p>
              </w:tc>
              <w:tc>
                <w:tcPr>
                  <w:tcW w:type="dxa" w:w="3451"/>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₹18–30L / $30–55k</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Q3</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2678"/>
              <w:gridCol w:w="2082"/>
            </w:tblGrid>
            <w:tr>
              <w:tc>
                <w:tcPr>
                  <w:tcW w:type="dxa" w:w="2678"/>
                  <w:tcBorders>
                    <w:top w:val="none" w:color="FFFFFF" w:sz="0"/>
                    <w:left w:val="none" w:color="FFFFFF" w:sz="0"/>
                    <w:bottom w:val="none" w:color="FFFFFF" w:sz="0"/>
                    <w:right w:val="none" w:color="FFFFFF" w:sz="0"/>
                  </w:tcBorders>
                  <w:shd w:fill="548235" w:val="clear"/>
                  <w:tcMar>
                    <w:top w:type="dxa" w:w="30"/>
                    <w:left w:type="dxa" w:w="0"/>
                    <w:bottom w:type="dxa" w:w="30"/>
                    <w:right w:type="dxa" w:w="0"/>
                  </w:tcMar>
                </w:tcPr>
                <w:p>
                  <w:r>
                    <w:rPr>
                      <w:sz w:val="14"/>
                      <w:szCs w:val="14"/>
                    </w:rPr>
                    <w:t xml:space="preserve"/>
                  </w:r>
                </w:p>
              </w:tc>
              <w:tc>
                <w:tcPr>
                  <w:tcW w:type="dxa" w:w="2082"/>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₹40–60L / $70–120k</w:t>
            </w:r>
          </w:p>
        </w:tc>
      </w:tr>
      <w:tr>
        <w:tc>
          <w:tcPr>
            <w:tcW w:type="dxa" w:w="2700"/>
            <w:tcBorders>
              <w:top w:val="none" w:color="FFFFFF" w:sz="0"/>
              <w:left w:val="none" w:color="FFFFFF" w:sz="0"/>
              <w:bottom w:val="none" w:color="FFFFFF" w:sz="0"/>
              <w:right w:val="none" w:color="FFFFFF" w:sz="0"/>
            </w:tcBorders>
            <w:tcMar>
              <w:top w:type="dxa" w:w="20"/>
              <w:left w:type="dxa" w:w="0"/>
              <w:bottom w:type="dxa" w:w="20"/>
              <w:right w:type="dxa" w:w="80"/>
            </w:tcMar>
            <w:vAlign w:val="center"/>
          </w:tcPr>
          <w:p>
            <w:pPr>
              <w:jc w:val="right"/>
            </w:pPr>
            <w:r>
              <w:rPr>
                <w:sz w:val="17"/>
                <w:szCs w:val="17"/>
              </w:rPr>
              <w:t xml:space="preserve">Q4</w:t>
            </w:r>
          </w:p>
        </w:tc>
        <w:tc>
          <w:tcPr>
            <w:tcW w:type="dxa" w:w="4760"/>
            <w:tcBorders>
              <w:top w:val="none" w:color="FFFFFF" w:sz="0"/>
              <w:left w:val="none" w:color="FFFFFF" w:sz="0"/>
              <w:bottom w:val="none" w:color="FFFFFF" w:sz="0"/>
              <w:right w:val="none" w:color="FFFFFF" w:sz="0"/>
            </w:tcBorders>
            <w:tcMar>
              <w:top w:type="dxa" w:w="20"/>
              <w:left w:type="dxa" w:w="0"/>
              <w:bottom w:type="dxa" w:w="20"/>
              <w:right w:type="dxa" w:w="0"/>
            </w:tcMar>
            <w:vAlign w:val="center"/>
          </w:tcPr>
          <w:tbl>
            <w:tblPr>
              <w:tblW w:type="dxa" w:w="4760"/>
              <w:tblBorders>
                <w:top w:val="none" w:color="FFFFFF" w:sz="0"/>
                <w:left w:val="none" w:color="FFFFFF" w:sz="0"/>
                <w:bottom w:val="none" w:color="FFFFFF" w:sz="0"/>
                <w:right w:val="none" w:color="FFFFFF" w:sz="0"/>
                <w:insideH w:val="none" w:color="FFFFFF" w:sz="0"/>
                <w:insideV w:val="none" w:color="FFFFFF" w:sz="0"/>
              </w:tblBorders>
            </w:tblPr>
            <w:tblGrid>
              <w:gridCol w:w="4760"/>
              <w:gridCol w:w="1"/>
            </w:tblGrid>
            <w:tr>
              <w:tc>
                <w:tcPr>
                  <w:tcW w:type="dxa" w:w="4760"/>
                  <w:tcBorders>
                    <w:top w:val="none" w:color="FFFFFF" w:sz="0"/>
                    <w:left w:val="none" w:color="FFFFFF" w:sz="0"/>
                    <w:bottom w:val="none" w:color="FFFFFF" w:sz="0"/>
                    <w:right w:val="none" w:color="FFFFFF" w:sz="0"/>
                  </w:tcBorders>
                  <w:shd w:fill="548235" w:val="clear"/>
                  <w:tcMar>
                    <w:top w:type="dxa" w:w="30"/>
                    <w:left w:type="dxa" w:w="0"/>
                    <w:bottom w:type="dxa" w:w="30"/>
                    <w:right w:type="dxa" w:w="0"/>
                  </w:tcMar>
                </w:tcPr>
                <w:p>
                  <w:r>
                    <w:rPr>
                      <w:sz w:val="14"/>
                      <w:szCs w:val="14"/>
                    </w:rPr>
                    <w:t xml:space="preserve"/>
                  </w:r>
                </w:p>
              </w:tc>
              <w:tc>
                <w:tcPr>
                  <w:tcW w:type="dxa" w:w="1"/>
                  <w:tcBorders>
                    <w:top w:val="none" w:color="FFFFFF" w:sz="0"/>
                    <w:left w:val="none" w:color="FFFFFF" w:sz="0"/>
                    <w:bottom w:val="none" w:color="FFFFFF" w:sz="0"/>
                    <w:right w:val="none" w:color="FFFFFF" w:sz="0"/>
                  </w:tcBorders>
                  <w:tcMar>
                    <w:top w:type="dxa" w:w="30"/>
                    <w:left w:type="dxa" w:w="0"/>
                    <w:bottom w:type="dxa" w:w="30"/>
                    <w:right w:type="dxa" w:w="0"/>
                  </w:tcMar>
                </w:tcPr>
                <w:p>
                  <w:r>
                    <w:rPr>
                      <w:sz w:val="14"/>
                      <w:szCs w:val="14"/>
                    </w:rPr>
                    <w:t xml:space="preserve"/>
                  </w:r>
                </w:p>
              </w:tc>
            </w:tr>
          </w:tbl>
          <w:p/>
        </w:tc>
        <w:tc>
          <w:tcPr>
            <w:tcW w:type="dxa" w:w="1900"/>
            <w:tcBorders>
              <w:top w:val="none" w:color="FFFFFF" w:sz="0"/>
              <w:left w:val="none" w:color="FFFFFF" w:sz="0"/>
              <w:bottom w:val="none" w:color="FFFFFF" w:sz="0"/>
              <w:right w:val="none" w:color="FFFFFF" w:sz="0"/>
            </w:tcBorders>
            <w:tcMar>
              <w:top w:type="dxa" w:w="20"/>
              <w:left w:type="dxa" w:w="80"/>
              <w:bottom w:type="dxa" w:w="20"/>
              <w:right w:type="dxa" w:w="0"/>
            </w:tcMar>
            <w:vAlign w:val="center"/>
          </w:tcPr>
          <w:p>
            <w:r>
              <w:rPr>
                <w:b/>
                <w:bCs/>
                <w:color w:val="1F3864"/>
                <w:sz w:val="17"/>
                <w:szCs w:val="17"/>
              </w:rPr>
              <w:t xml:space="preserve">₹75L–1.2Cr / $130–230k</w:t>
            </w:r>
          </w:p>
        </w:tc>
      </w:tr>
    </w:tbl>
    <w:p>
      <w:pPr>
        <w:spacing w:after="160" w:before="40"/>
      </w:pPr>
      <w:r>
        <w:rPr>
          <w:i/>
          <w:iCs/>
          <w:color w:val="595959"/>
          <w:sz w:val="16"/>
          <w:szCs w:val="16"/>
        </w:rPr>
        <w:t xml:space="preserve">Figure 11. Illustrative cumulative revenue trajectory (lean founder-led launch; actuals depend on execution).</w:t>
      </w:r>
    </w:p>
    <w:p>
      <w:pPr>
        <w:pStyle w:val="Heading1"/>
        <w:pageBreakBefore/>
      </w:pPr>
      <w:r>
        <w:t xml:space="preserve">15. Actionable Executive Summary &amp; Final Recommendation</w:t>
      </w:r>
    </w:p>
    <w:p>
      <w:pPr>
        <w:spacing w:after="140" w:line="276"/>
      </w:pPr>
      <w:r>
        <w:rPr>
          <w:i/>
          <w:iCs/>
          <w:color w:val="595959"/>
        </w:rPr>
        <w:t xml:space="preserve">The verdict: yes — launch it, but not as a generalist. Win a niche at home, build recurring revenue, then export. Below is the decisive, do-this-now recommendation.</w:t>
      </w:r>
    </w:p>
    <w:p>
      <w:pPr>
        <w:pStyle w:val="Heading2"/>
      </w:pPr>
      <w:r>
        <w:t xml:space="preserve">15.1 Should You Start This Business?</w:t>
      </w:r>
    </w:p>
    <w:p>
      <w:pPr>
        <w:spacing w:after="120" w:line="276"/>
        <w:jc w:val="both"/>
      </w:pPr>
      <w:r>
        <w:t xml:space="preserve">Yes. The markets are large, fast-growing and structurally favourable to an AI-native challenger. Demand outstrips supply in the SME/mid-market and vertical segments. The risk is not market size — it is focus. The single biggest failure mode is trying to offer all 30 services to everyone. Win by going narrow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20"/>
                <w:szCs w:val="20"/>
              </w:rPr>
              <w:t xml:space="preserve">The one-line strategy</w:t>
            </w:r>
          </w:p>
          <w:p>
            <w:pPr>
              <w:spacing w:after="40"/>
            </w:pPr>
            <w:r>
              <w:rPr>
                <w:sz w:val="18"/>
                <w:szCs w:val="18"/>
              </w:rPr>
              <w:t xml:space="preserve">Become the #1 AI &amp; automation partner for a specific industry + region (start: Gujarat manufacturing / exports + SME services), with productised, outcome-based offers — then export delivery to the Gulf and US/UK.</w:t>
            </w:r>
          </w:p>
        </w:tc>
      </w:tr>
    </w:tbl>
    <w:p>
      <w:pPr>
        <w:pStyle w:val="Heading2"/>
      </w:pPr>
      <w:r>
        <w:t xml:space="preserve">15.2 Decisive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Question</w:t>
            </w:r>
          </w:p>
        </w:tc>
        <w:tc>
          <w:tcPr>
            <w:tcW w:type="dxa" w:w="68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Recommendation</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Which niche first?</w:t>
            </w:r>
          </w:p>
        </w:tc>
        <w:tc>
          <w:tcPr>
            <w:tcW w:type="dxa" w:w="68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Gujarat/India SME + mfg/export verticals (your access + acute pain + low competition). Add e-commerce/real-estate SMEs.</w:t>
            </w:r>
          </w:p>
        </w:tc>
      </w:tr>
      <w:tr>
        <w:trPr>
          <w:tblHeader w:val="false"/>
        </w:trPr>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Which services first?</w:t>
            </w:r>
          </w:p>
        </w:tc>
        <w:tc>
          <w:tcPr>
            <w:tcW w:type="dxa" w:w="68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AI chatbots/WhatsApp bots, lead-gen &amp; sales automation, workflow automation, AI marketing — then dashboards &amp; voice agents.</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Which country first?</w:t>
            </w:r>
          </w:p>
        </w:tc>
        <w:tc>
          <w:tcPr>
            <w:tcW w:type="dxa" w:w="68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India (home) for proof + cash flow → UAE/Gulf for big margins → US/UK for scale.</w:t>
            </w:r>
          </w:p>
        </w:tc>
      </w:tr>
      <w:tr>
        <w:trPr>
          <w:tblHeader w:val="false"/>
        </w:trPr>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How to get clients fast?</w:t>
            </w:r>
          </w:p>
        </w:tc>
        <w:tc>
          <w:tcPr>
            <w:tcW w:type="dxa" w:w="68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Niche productised offer + free demo/audit + small paid pilot + risk reversal, pushed via LinkedIn + email + WhatsApp + referrals.</w:t>
            </w:r>
          </w:p>
        </w:tc>
      </w:tr>
      <w:tr>
        <w:trPr>
          <w:tblHeader w:val="false"/>
        </w:trPr>
        <w:tc>
          <w:tcPr>
            <w:tcW w:type="dxa" w:w="25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Business model?</w:t>
            </w:r>
          </w:p>
        </w:tc>
        <w:tc>
          <w:tcPr>
            <w:tcW w:type="dxa" w:w="68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Hybrid land-and-expand: project → retainer → subscription → SaaS IP. Target 55–75% margins, growing recurring base.</w:t>
            </w:r>
          </w:p>
        </w:tc>
      </w:tr>
      <w:tr>
        <w:trPr>
          <w:tblHeader w:val="false"/>
        </w:trPr>
        <w:tc>
          <w:tcPr>
            <w:tcW w:type="dxa" w:w="25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Biggest risk to manage?</w:t>
            </w:r>
          </w:p>
        </w:tc>
        <w:tc>
          <w:tcPr>
            <w:tcW w:type="dxa" w:w="68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Commoditisation + cash lumpiness — beat both with vertical IP, outcomes, and fast recurring revenue.</w:t>
            </w:r>
          </w:p>
        </w:tc>
      </w:tr>
    </w:tbl>
    <w:p>
      <w:pPr>
        <w:pStyle w:val="Heading2"/>
      </w:pPr>
      <w:r>
        <w:t xml:space="preserve">15.3 Revenue Roadmap (Year 1, illustrative)</w:t>
      </w:r>
    </w:p>
    <w:p>
      <w:pPr>
        <w:pStyle w:val="ListParagraph"/>
        <w:numPr>
          <w:ilvl w:val="0"/>
          <w:numId w:val="2"/>
        </w:numPr>
        <w:spacing w:after="40" w:line="264"/>
      </w:pPr>
      <w:r>
        <w:t xml:space="preserve">Q1: first 5–8 clients, ₹6–12L / $10–20k, 3 case studies.</w:t>
      </w:r>
    </w:p>
    <w:p>
      <w:pPr>
        <w:pStyle w:val="ListParagraph"/>
        <w:numPr>
          <w:ilvl w:val="0"/>
          <w:numId w:val="2"/>
        </w:numPr>
        <w:spacing w:after="40" w:line="264"/>
      </w:pPr>
      <w:r>
        <w:t xml:space="preserve">Q2: retainer base + export logo, 10–15 clients.</w:t>
      </w:r>
    </w:p>
    <w:p>
      <w:pPr>
        <w:pStyle w:val="ListParagraph"/>
        <w:numPr>
          <w:ilvl w:val="0"/>
          <w:numId w:val="2"/>
        </w:numPr>
        <w:spacing w:after="40" w:line="264"/>
      </w:pPr>
      <w:r>
        <w:t xml:space="preserve">Q3: productised offers, bigger deals, founder-independent delivery.</w:t>
      </w:r>
    </w:p>
    <w:p>
      <w:pPr>
        <w:pStyle w:val="ListParagraph"/>
        <w:numPr>
          <w:ilvl w:val="0"/>
          <w:numId w:val="2"/>
        </w:numPr>
        <w:spacing w:after="40" w:line="264"/>
      </w:pPr>
      <w:r>
        <w:t xml:space="preserve">Q4: 20–30 clients, micro-SaaS MVP, stable MRR at 55%+ margins; Year-2 scale/funding plan.</w:t>
      </w:r>
    </w:p>
    <w:p>
      <w:pPr>
        <w:pStyle w:val="Heading2"/>
      </w:pPr>
      <w:r>
        <w:t xml:space="preserve">15.4 Hiring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4660"/>
      </w:tblGrid>
      <w:tr>
        <w:trPr>
          <w:tblHeader/>
        </w:trPr>
        <w:tc>
          <w:tcPr>
            <w:tcW w:type="dxa" w:w="1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Stage</w:t>
            </w:r>
          </w:p>
        </w:tc>
        <w:tc>
          <w:tcPr>
            <w:tcW w:type="dxa" w:w="30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Hire</w:t>
            </w:r>
          </w:p>
        </w:tc>
        <w:tc>
          <w:tcPr>
            <w:tcW w:type="dxa" w:w="46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6"/>
                <w:szCs w:val="16"/>
              </w:rPr>
              <w:t xml:space="preserve">Why</w:t>
            </w:r>
          </w:p>
        </w:tc>
      </w:tr>
      <w:tr>
        <w:trPr>
          <w:tblHeader w:val="false"/>
        </w:trPr>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Founding (M1–3)</w:t>
            </w:r>
          </w:p>
        </w:tc>
        <w:tc>
          <w:tcPr>
            <w:tcW w:type="dxa" w:w="30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Founder(s) + 1 AI engineer/PM + 1 SDR/intern</w:t>
            </w:r>
          </w:p>
        </w:tc>
        <w:tc>
          <w:tcPr>
            <w:tcW w:type="dxa" w:w="4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Sell + deliver lean; prove model</w:t>
            </w:r>
          </w:p>
        </w:tc>
      </w:tr>
      <w:tr>
        <w:trPr>
          <w:tblHeader w:val="false"/>
        </w:trPr>
        <w:tc>
          <w:tcPr>
            <w:tcW w:type="dxa" w:w="1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Traction (M4–9)</w:t>
            </w:r>
          </w:p>
        </w:tc>
        <w:tc>
          <w:tcPr>
            <w:tcW w:type="dxa" w:w="30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+1–2 engineers, +1 sales, +1 delivery/PM</w:t>
            </w:r>
          </w:p>
        </w:tc>
        <w:tc>
          <w:tcPr>
            <w:tcW w:type="dxa" w:w="4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6"/>
                <w:szCs w:val="16"/>
              </w:rPr>
              <w:t xml:space="preserve">Scale delivery + pipeline</w:t>
            </w:r>
          </w:p>
        </w:tc>
      </w:tr>
      <w:tr>
        <w:trPr>
          <w:tblHeader w:val="false"/>
        </w:trPr>
        <w:tc>
          <w:tcPr>
            <w:tcW w:type="dxa" w:w="1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Scale (M10–12)</w:t>
            </w:r>
          </w:p>
        </w:tc>
        <w:tc>
          <w:tcPr>
            <w:tcW w:type="dxa" w:w="30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Delivery lead, product engineer, +sales/SDR</w:t>
            </w:r>
          </w:p>
        </w:tc>
        <w:tc>
          <w:tcPr>
            <w:tcW w:type="dxa" w:w="4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6"/>
                <w:szCs w:val="16"/>
              </w:rPr>
              <w:t xml:space="preserve">Founder-independent delivery + IP + growth</w:t>
            </w:r>
          </w:p>
        </w:tc>
      </w:tr>
    </w:tbl>
    <w:p>
      <w:pPr>
        <w:pStyle w:val="Heading2"/>
      </w:pPr>
      <w:r>
        <w:t xml:space="preserve">15.5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Layer</w:t>
            </w:r>
          </w:p>
        </w:tc>
        <w:tc>
          <w:tcPr>
            <w:tcW w:type="dxa" w:w="70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Recommended tools</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Foundation models</w:t>
            </w:r>
          </w:p>
        </w:tc>
        <w:tc>
          <w:tcPr>
            <w:tcW w:type="dxa" w:w="7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OpenAI (GPT), Anthropic Claude, Google Gemini; open models (Llama, Mistral) for private/on-prem</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Orchestration / agents</w:t>
            </w:r>
          </w:p>
        </w:tc>
        <w:tc>
          <w:tcPr>
            <w:tcW w:type="dxa" w:w="7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LangChain / LlamaIndex / LangGraph, n8n / Make for workflow automation</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RAG / vector DB</w:t>
            </w:r>
          </w:p>
        </w:tc>
        <w:tc>
          <w:tcPr>
            <w:tcW w:type="dxa" w:w="7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Pinecone / Weaviate / pgvector; embeddings via OpenAI/Cohere</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Automation / RPA</w:t>
            </w:r>
          </w:p>
        </w:tc>
        <w:tc>
          <w:tcPr>
            <w:tcW w:type="dxa" w:w="7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n8n, Make, Zapier (SME); UiPath / Automation Anywhere / Power Automate (enterprise)</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Conversational / voice</w:t>
            </w:r>
          </w:p>
        </w:tc>
        <w:tc>
          <w:tcPr>
            <w:tcW w:type="dxa" w:w="7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WhatsApp Business API (AiSensy/Wati/Gupshup), Twilio, Vapi/ElevenLabs for voice</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Data / BI</w:t>
            </w:r>
          </w:p>
        </w:tc>
        <w:tc>
          <w:tcPr>
            <w:tcW w:type="dxa" w:w="7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BigQuery / Snowflake / Postgres; Power BI / Metabase / Looker Studio</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Cloud / MLOps</w:t>
            </w:r>
          </w:p>
        </w:tc>
        <w:tc>
          <w:tcPr>
            <w:tcW w:type="dxa" w:w="7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AWS / Azure / GCP; Docker, GitHub Actions, MLflow/LangSmith for monitoring</w:t>
            </w:r>
          </w:p>
        </w:tc>
      </w:tr>
      <w:tr>
        <w:trPr>
          <w:tblHeader w:val="false"/>
        </w:trPr>
        <w:tc>
          <w:tcPr>
            <w:tcW w:type="dxa" w:w="23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Build / SaaS</w:t>
            </w:r>
          </w:p>
        </w:tc>
        <w:tc>
          <w:tcPr>
            <w:tcW w:type="dxa" w:w="70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Next.js / React, Node/Python (FastAPI), Supabase/Postgres</w:t>
            </w:r>
          </w:p>
        </w:tc>
      </w:tr>
      <w:tr>
        <w:trPr>
          <w:tblHeader w:val="false"/>
        </w:trPr>
        <w:tc>
          <w:tcPr>
            <w:tcW w:type="dxa" w:w="23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GTM stack</w:t>
            </w:r>
          </w:p>
        </w:tc>
        <w:tc>
          <w:tcPr>
            <w:tcW w:type="dxa" w:w="70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Apollo/Clay (lists), LinkedIn, instantly/smartlead (email), CRM (HubSpot/Zoho), Loom (demos)</w:t>
            </w:r>
          </w:p>
        </w:tc>
      </w:tr>
    </w:tbl>
    <w:p>
      <w:pPr>
        <w:pStyle w:val="Heading2"/>
      </w:pPr>
      <w:r>
        <w:t xml:space="preserve">15.6 Final 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20"/>
              <w:left w:type="dxa" w:w="160"/>
              <w:bottom w:type="dxa" w:w="120"/>
              <w:right w:type="dxa" w:w="160"/>
            </w:tcMar>
          </w:tcPr>
          <w:p>
            <w:pPr>
              <w:spacing w:after="60"/>
            </w:pPr>
            <w:r>
              <w:rPr>
                <w:b/>
                <w:bCs/>
                <w:color w:val="1F3864"/>
                <w:sz w:val="20"/>
                <w:szCs w:val="20"/>
              </w:rPr>
              <w:t xml:space="preserve">Do this now</w:t>
            </w:r>
          </w:p>
          <w:p>
            <w:pPr>
              <w:spacing w:after="40"/>
            </w:pPr>
            <w:r>
              <w:rPr>
                <w:sz w:val="18"/>
                <w:szCs w:val="18"/>
              </w:rPr>
              <w:t xml:space="preserve">1. Pick ONE niche + 4 core services this week.</w:t>
            </w:r>
          </w:p>
          <w:p>
            <w:pPr>
              <w:spacing w:after="40"/>
            </w:pPr>
            <w:r>
              <w:rPr>
                <w:sz w:val="18"/>
                <w:szCs w:val="18"/>
              </w:rPr>
              <w:t xml:space="preserve">2. Build 3 killer demos and a productised, risk-reversed offer.</w:t>
            </w:r>
          </w:p>
          <w:p>
            <w:pPr>
              <w:spacing w:after="40"/>
            </w:pPr>
            <w:r>
              <w:rPr>
                <w:sz w:val="18"/>
                <w:szCs w:val="18"/>
              </w:rPr>
              <w:t xml:space="preserve">3. Start 100+ outbound touches/week across LinkedIn, email and WhatsApp.</w:t>
            </w:r>
          </w:p>
          <w:p>
            <w:pPr>
              <w:spacing w:after="40"/>
            </w:pPr>
            <w:r>
              <w:rPr>
                <w:sz w:val="18"/>
                <w:szCs w:val="18"/>
              </w:rPr>
              <w:t xml:space="preserve">4. Land 5 paid pilots in 90 days; convert to retainers; publish case studies.</w:t>
            </w:r>
          </w:p>
          <w:p>
            <w:pPr>
              <w:spacing w:after="40"/>
            </w:pPr>
            <w:r>
              <w:rPr>
                <w:sz w:val="18"/>
                <w:szCs w:val="18"/>
              </w:rPr>
              <w:t xml:space="preserve">5. Reinvest into productisation, recurring revenue, and export delivery.</w:t>
            </w:r>
          </w:p>
          <w:p>
            <w:pPr>
              <w:spacing w:after="40"/>
            </w:pPr>
            <w:r>
              <w:rPr>
                <w:sz w:val="18"/>
                <w:szCs w:val="18"/>
              </w:rPr>
              <w:t xml:space="preserve">Speed of proof beats breadth of services. Go narrow, get proof, then scale.</w:t>
            </w:r>
          </w:p>
        </w:tc>
      </w:tr>
    </w:tbl>
    <w:p>
      <w:pPr>
        <w:pStyle w:val="Heading1"/>
        <w:pageBreakBefore/>
      </w:pPr>
      <w:r>
        <w:t xml:space="preserve">References &amp; Sources</w:t>
      </w:r>
    </w:p>
    <w:p>
      <w:pPr>
        <w:spacing w:after="120" w:line="276"/>
        <w:jc w:val="both"/>
      </w:pPr>
      <w:r>
        <w:t xml:space="preserve">Market figures are drawn from leading research houses and are presented as ranges where analyst estimates diverge. Private-company financials are best-available estimates and flagged as such throughout. All sources accessed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w:t>
            </w:r>
          </w:p>
        </w:tc>
        <w:tc>
          <w:tcPr>
            <w:tcW w:type="dxa" w:w="8660"/>
            <w:tcBorders>
              <w:top w:val="single" w:color="B8C4D9" w:sz="1"/>
              <w:left w:val="single" w:color="B8C4D9" w:sz="1"/>
              <w:bottom w:val="single" w:color="B8C4D9" w:sz="1"/>
              <w:right w:val="single" w:color="B8C4D9" w:sz="1"/>
            </w:tcBorders>
            <w:shd w:fill="1F3864" w:val="clear"/>
            <w:tcMar>
              <w:top w:type="dxa" w:w="50"/>
              <w:left w:type="dxa" w:w="110"/>
              <w:bottom w:type="dxa" w:w="50"/>
              <w:right w:type="dxa" w:w="90"/>
            </w:tcMar>
            <w:vAlign w:val="center"/>
          </w:tcPr>
          <w:p>
            <w:pPr>
              <w:spacing w:after="0" w:line="240"/>
              <w:jc w:val="left"/>
            </w:pPr>
            <w:r>
              <w:rPr>
                <w:b/>
                <w:bCs/>
                <w:color w:val="FFFFFF"/>
                <w:sz w:val="15"/>
                <w:szCs w:val="15"/>
              </w:rPr>
              <w:t xml:space="preserve">Source</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1</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Precedence Research — Artificial Intelligence Market (USD 757.58 B in 2025 → USD 4,216.29 B by 2035, 18.73% CAGR). precedenceresearch.com/artificial-intelligence-market</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2</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NextMSC — AI Market 2025–2030 (USD 224.41 B in 2024 → USD 1,236.47 B by 2030, 32.9% CAGR); market.us — AI Market (38.5% CAGR). nextmsc.com; market.us/report/artificial-intelligence-market</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3</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Grand View Research — Artificial Intelligence as a Service Market (USD 16.08 B 2024 → USD 105.04 B 2030, 36.1% CAGR). grandviewresearch.com/industry-analysis/artificial-intelligence-as-a-service-market-report</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4</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Grand View Research / GM Insights / Fortune Business Insights — Generative AI Market (USD 22–104 B 2025 → USD 325–990 B, 29–43% CAGR). grandviewresearch.com/industry-analysis/generative-ai-market-report</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5</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Precedence Research — IT Services Market (USD 1.61 T 2025 → USD 3.17 T 2035, ~7% CAGR); Grand View Research IT Services report. precedenceresearch.com/it-services-market</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6</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Gartner — Worldwide IT Spending Forecasts (USD 5.43 T 2025; &gt;USD 6 T 2026). gartner.com/en/newsroom (2025–2026 press releases)</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7</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Future Market Insights — AI Consulting Services Market (USD 11.07 B 2025 → USD 90.99 B 2035, 26.2% CAGR). futuremarketinsights.com/reports/ai-consulting-services-market</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8</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Business Research Insights — AI Consulting Market (26.49% CAGR; alt. USD 22.27 B 2025 → USD 257.6 B 2033, 35.8% CAGR). businessresearchinsights.com</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9</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Precedence Research / SkyQuest / Technavio / Mordor — RPA &amp; Hyperautomation Markets (RPA USD 11–28 B 2025, 24–36% CAGR; Hyperautomation USD 16–66 B, 17–20% CAGR). precedenceresearch.com/hyperautomation-market</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10</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Grand View Research — Digital Transformation Market (→ USD 4,617.78 B by 2030, 28.5% CAGR). grandviewresearch.com/industry-analysis/digital-transformation-market</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11</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The Business Research Company — Digital Transformation Global Market (→ USD 5,010.76 B 2030, 18.5% CAGR). thebusinessresearchcompany.com</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12</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Grand View Research / Precedence / Technavio — SaaS Market (USD 399–408 B 2024–25 → USD 774 B–1.37 T, 12–22% CAGR). grandviewresearch.com/industry-analysis/saas-market-report</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13</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NASSCOM-BCG &amp; indiaai.gov.in — India AI market → ~USD 17 B by 2027 (25–35% CAGR); NASSCOM Strategic Review 2025 (India tech industry ~USD 282.6 B FY2025, approaching USD 300 B FY2026). nasscom.in</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14</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World Economic Forum — Transforming Small Businesses: An AI Playbook for India's SMEs (2025) (India ~63 M MSMEs, low AI adoption). reports.weforum.org</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15</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TiE Indore MP / RPRealtyPlus — India Tier-2 tech surge (40% of tech startups from tier-2/3; 30–40% lower costs). mp.tie.org; rprealtyplus.com</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16</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Accenture — FY2025 results 8-K (USD 69.7 B revenue, ~799k staff, USD 5.9 B GenAI bookings); Wipro 6-K FY2025. sec.gov (EDGAR)</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17</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Fractal Analytics — GetLatka (USD 330 M ARR, USD 2.4 B valuation); Crunchbase; Inc42; Tradebrains; TechFundingNews (DRHP, IPO). getlatka.com/companies/fractal.ai; crunchbase.com</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18</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UiPath FY2025 8-K (USD 1.43 B revenue, USD 1.67 B ARR); Palantir FY2025 8-K (USD 3.7 B+ revenue, profitable). sec.gov (EDGAR)</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19</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Growjo — Quantiphi revenue &amp; competitors; Crunchbase (Quantiphi funding). growjo.com/company/Quantiphi</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20</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Forrester — The AI Effect: Q2 2025 Technology Services Earnings (Accenture, Capgemini, Cognizant, HCLTech, IBM, Infosys, TCS, Tech Mahindra, Wipro). forrester.com/blogs</w:t>
            </w:r>
          </w:p>
        </w:tc>
      </w:tr>
      <w:tr>
        <w:trPr>
          <w:tblHeader w:val="false"/>
        </w:trPr>
        <w:tc>
          <w:tcPr>
            <w:tcW w:type="dxa" w:w="70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center"/>
            </w:pPr>
            <w:r>
              <w:rPr>
                <w:color w:val="000000"/>
                <w:sz w:val="15"/>
                <w:szCs w:val="15"/>
              </w:rPr>
              <w:t xml:space="preserve">21</w:t>
            </w:r>
          </w:p>
        </w:tc>
        <w:tc>
          <w:tcPr>
            <w:tcW w:type="dxa" w:w="8660"/>
            <w:tcBorders>
              <w:top w:val="single" w:color="B8C4D9" w:sz="1"/>
              <w:left w:val="single" w:color="B8C4D9" w:sz="1"/>
              <w:bottom w:val="single" w:color="B8C4D9" w:sz="1"/>
              <w:right w:val="single" w:color="B8C4D9" w:sz="1"/>
            </w:tcBorders>
            <w:shd w:fill="FFFFFF" w:val="clear"/>
            <w:tcMar>
              <w:top w:type="dxa" w:w="50"/>
              <w:left w:type="dxa" w:w="110"/>
              <w:bottom w:type="dxa" w:w="50"/>
              <w:right w:type="dxa" w:w="90"/>
            </w:tcMar>
            <w:vAlign w:val="center"/>
          </w:tcPr>
          <w:p>
            <w:pPr>
              <w:spacing w:after="0" w:line="240"/>
              <w:jc w:val="left"/>
            </w:pPr>
            <w:r>
              <w:rPr>
                <w:color w:val="000000"/>
                <w:sz w:val="15"/>
                <w:szCs w:val="15"/>
              </w:rPr>
              <w:t xml:space="preserve">Company financial disclosures &amp; investor relations: TCS, Infosys, HCLTech, Deloitte, PwC, IBM, Capgemini, Cognizant, ServiceNow, Automation Anywhere, DataRobot (FY2024–25).</w:t>
            </w:r>
          </w:p>
        </w:tc>
      </w:tr>
      <w:tr>
        <w:trPr>
          <w:tblHeader w:val="false"/>
        </w:trPr>
        <w:tc>
          <w:tcPr>
            <w:tcW w:type="dxa" w:w="70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center"/>
            </w:pPr>
            <w:r>
              <w:rPr>
                <w:color w:val="000000"/>
                <w:sz w:val="15"/>
                <w:szCs w:val="15"/>
              </w:rPr>
              <w:t xml:space="preserve">22</w:t>
            </w:r>
          </w:p>
        </w:tc>
        <w:tc>
          <w:tcPr>
            <w:tcW w:type="dxa" w:w="8660"/>
            <w:tcBorders>
              <w:top w:val="single" w:color="B8C4D9" w:sz="1"/>
              <w:left w:val="single" w:color="B8C4D9" w:sz="1"/>
              <w:bottom w:val="single" w:color="B8C4D9" w:sz="1"/>
              <w:right w:val="single" w:color="B8C4D9" w:sz="1"/>
            </w:tcBorders>
            <w:shd w:fill="EEF3FA" w:val="clear"/>
            <w:tcMar>
              <w:top w:type="dxa" w:w="50"/>
              <w:left w:type="dxa" w:w="110"/>
              <w:bottom w:type="dxa" w:w="50"/>
              <w:right w:type="dxa" w:w="90"/>
            </w:tcMar>
            <w:vAlign w:val="center"/>
          </w:tcPr>
          <w:p>
            <w:pPr>
              <w:spacing w:after="0" w:line="240"/>
              <w:jc w:val="left"/>
            </w:pPr>
            <w:r>
              <w:rPr>
                <w:color w:val="000000"/>
                <w:sz w:val="15"/>
                <w:szCs w:val="15"/>
              </w:rPr>
              <w:t xml:space="preserve">Company websites, Crunchbase, Tracxn, Inc42, YourStory for Indian competitor directory (Section 3). Private financials are estimates.</w:t>
            </w:r>
          </w:p>
        </w:tc>
      </w:tr>
    </w:tbl>
    <w:p>
      <w:pPr>
        <w:spacing w:after="160"/>
      </w:pPr>
      <w:r>
        <w:t xml:space="preserve"/>
      </w:r>
    </w:p>
    <w:p>
      <w:pPr>
        <w:pStyle w:val="Heading2"/>
      </w:pPr>
      <w:r>
        <w:t xml:space="preserve">Methodology &amp; Disclaimer</w:t>
      </w:r>
    </w:p>
    <w:p>
      <w:pPr>
        <w:spacing w:after="120" w:line="276"/>
        <w:jc w:val="both"/>
      </w:pPr>
      <w:r>
        <w:t xml:space="preserve">This report synthesises secondary research from public market-research publications, analyst forecasts, company filings and industry bodies, combined with practitioner benchmarking for pricing, demand scoring and go-to-market guidance. Market-size ranges reflect genuine divergence in analyst scope and methodology; mid-points are used for planning, not as precise predictions. Pricing, revenue trajectories, scores and timelines are illustrative planning aids, not guarantees. Figures should be independently verified before being used in investment, financing or contractual decisions. This document is strategic guidance, not financial, legal or investment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9" w:sz="4" w:space="2"/>
      </w:pBdr>
      <w:tabs>
        <w:tab w:val="center" w:pos="4680"/>
        <w:tab w:val="right" w:pos="9360"/>
      </w:tabs>
    </w:pPr>
    <w:r>
      <w:rPr>
        <w:color w:val="595959"/>
        <w:sz w:val="15"/>
        <w:szCs w:val="15"/>
      </w:rPr>
      <w:t xml:space="preserve">Confidential</w:t>
    </w:r>
    <w:r>
      <w:rPr>
        <w:color w:val="595959"/>
        <w:sz w:val="15"/>
        <w:szCs w:val="15"/>
      </w:rPr>
      <w:t xml:space="preserve">	Page </w:t>
      <w:fldChar w:fldCharType="begin"/>
      <w:instrText xml:space="preserve">PAGE</w:instrText>
      <w:fldChar w:fldCharType="separate"/>
      <w:fldChar w:fldCharType="end"/>
    </w:r>
    <w:r>
      <w:rPr>
        <w:color w:val="595959"/>
        <w:sz w:val="15"/>
        <w:szCs w:val="15"/>
      </w:rPr>
      <w:t xml:space="preserve">	June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D9" w:sz="4" w:space="2"/>
      </w:pBdr>
      <w:tabs>
        <w:tab w:val="right" w:pos="9360"/>
      </w:tabs>
    </w:pPr>
    <w:r>
      <w:rPr>
        <w:color w:val="595959"/>
        <w:sz w:val="16"/>
        <w:szCs w:val="16"/>
      </w:rPr>
      <w:t xml:space="preserve">AI &amp; IT Solutions as a Service</w:t>
    </w:r>
    <w:r>
      <w:rPr>
        <w:i/>
        <w:iCs/>
        <w:color w:val="595959"/>
        <w:sz w:val="16"/>
        <w:szCs w:val="16"/>
      </w:rPr>
      <w:t xml:space="preserve">	Market Research &amp; GTM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6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5"/>
      <w:szCs w:val="25"/>
    </w:rPr>
  </w:style>
  <w:style w:type="paragraph" w:styleId="Heading3">
    <w:name w:val="Heading 3"/>
    <w:basedOn w:val="Normal"/>
    <w:next w:val="Normal"/>
    <w:qFormat/>
    <w:pPr>
      <w:spacing w:after="60" w:before="14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&amp; IT Solutions as a Service — Market Research &amp; GTM Strategy</dc:title>
  <dc:creator>Strategy &amp; Market Research</dc:creator>
  <dc:description>Market research report</dc:description>
  <cp:lastModifiedBy>Un-named</cp:lastModifiedBy>
  <cp:revision>1</cp:revision>
  <dcterms:created xsi:type="dcterms:W3CDTF">2026-06-08T10:24:15.626Z</dcterms:created>
  <dcterms:modified xsi:type="dcterms:W3CDTF">2026-06-08T10:24:15.635Z</dcterms:modified>
</cp:coreProperties>
</file>

<file path=docProps/custom.xml><?xml version="1.0" encoding="utf-8"?>
<Properties xmlns="http://schemas.openxmlformats.org/officeDocument/2006/custom-properties" xmlns:vt="http://schemas.openxmlformats.org/officeDocument/2006/docPropsVTypes"/>
</file>