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br/>
        <w:br/>
        <w:t>FinDraft — Product 2</w:t>
        <w:br/>
        <w:t>Draft Financial Statements Engine</w:t>
      </w:r>
    </w:p>
    <w:p>
      <w:pPr>
        <w:jc w:val="center"/>
      </w:pPr>
      <w:r>
        <w:rPr>
          <w:sz w:val="28"/>
        </w:rPr>
        <w:t>Complete Product Specification, MVP Definition, Cursor AI Build Rules,</w:t>
        <w:br/>
        <w:t>FRS 102 Content Pack, Golden-File Test Fixtures &amp; Working Engine Code</w:t>
      </w:r>
    </w:p>
    <w:p>
      <w:pPr>
        <w:jc w:val="center"/>
      </w:pPr>
      <w:r>
        <w:rPr>
          <w:i/>
          <w:sz w:val="22"/>
        </w:rPr>
        <w:br/>
        <w:t>Version 7.6 FINAL (Master) — SPECIFICATION FROZEN: from here the code and tests are the specification — 27 September 2026</w:t>
        <w:br/>
        <w:t>Standard: FRS 102 (September 2024), Section 1A first · Accurri-style UX · Platform: Kastree (existing)</w:t>
        <w:br/>
        <w:t>Core principle: deterministic engine for numbers — no LLM in the MVP; in v1.1 the LLM never touches a number.</w:t>
        <w:br/>
        <w:t>Test suite: the full suite (python -m unittest discover -s tests -t .) passes cold from the shipped zip; test counts are recorded only in the change log.</w:t>
        <w:br/>
        <w:t>FULL HARDENING (independent code review C1–C7, all closed with regression tests): leases in net assets; one profit definition;</w:t>
        <w:br/>
        <w:t>separate intangible line; consumed-lines assertion; prior-year gate; CA 2014 s.117 dividend test; float rejection in rounding;</w:t>
        <w:br/>
        <w:t>predicate hardening + fail-closed rule evaluation; overdraft reclassification (canonical BANK_OVERDRAFT, presented within creditors &lt;1yr).</w:t>
        <w:br/>
        <w:t>Status: engine hardened and re-verified. Product decisions (§10 rows 8–12) DECIDED in v6.6 — members' accounts, no LLM in MVP, A8/A12 to v1.1, six gaps in scope, aggregate() in the production path. Gates before client use: security acceptance criteria (land in the week each protected code exists: Weeks 1, 2, 8, 10, 12), the pack-schema decision, and qualified sign-off of the note and policy wording and the members'-accounts statutory pages (every statute reference now checked against the licensed text).</w:t>
      </w:r>
    </w:p>
    <w:p>
      <w:r>
        <w:br w:type="page"/>
      </w:r>
    </w:p>
    <w:p>
      <w:pPr>
        <w:pStyle w:val="Heading1"/>
      </w:pPr>
      <w:r>
        <w:rPr>
          <w:color w:val="1F6F3B"/>
        </w:rPr>
        <w:t>1. Executive Summary &amp; Positioning</w:t>
      </w:r>
    </w:p>
    <w:p>
      <w:r>
        <w:rPr>
          <w:b w:val="0"/>
          <w:i w:val="0"/>
        </w:rPr>
        <w:t>FinDraft (Product 2) is a new entry point within the existing Kastree platform — a “Draft Financial Statements” module alongside the existing workflow — calling the same shared mapping engine, TB/GL ingestion, Clerk authentication and RLS-scoped multi-tenancy already built. It produces a complete, compliant set of draft financial statements under FRS 102 Section 1A — the members' accounts: statement of financial position, income statement, notes, small-company directors' report, and approval and audit-exemption statements (the CRO abridged filing set is a Phase-2 variant) — with deterministic reconciliation, evidence drill-down, and Accurri-style presentation controls, for accounting practices preparing small-company accounts (Ireland first; UK variant as the first additional pack).</w:t>
      </w:r>
    </w:p>
    <w:p>
      <w:r>
        <w:rPr>
          <w:b w:val="0"/>
          <w:i w:val="0"/>
        </w:rPr>
        <w:t>The engine is standard-agnostic: everything standard-specific lives in content packs selected on two independent dimensions — jurisdiction and standard (§2.1) — each carrying its own version, pinned at draft creation (§4.10). The engine consumes the mapping engine’s canonical output and asserts that every mapped line is presented — money can never be silently dropped from the statements (money-conservation proven over 1,000 seeded trial balances — this does not by itself guarantee every presentation choice is right).</w:t>
      </w:r>
    </w:p>
    <w:p>
      <w:pPr>
        <w:pStyle w:val="Heading2"/>
      </w:pPr>
      <w:r>
        <w:rPr>
          <w:color w:val="1F6F3B"/>
        </w:rPr>
        <w:t>1.1 Verification posture (honest, post-hardening)</w:t>
      </w:r>
    </w:p>
    <w:p>
      <w:pPr>
        <w:pStyle w:val="ListBullet"/>
      </w:pPr>
      <w:r>
        <w:t>Test suite: the full suite passes cold from the shipped zip (python -m unittest discover -s tests -t .). The money-conservation property tests run 1,000 seeded random balanced trial balances and prove that no mapped balance can be silently dropped: every generated balance sheet balances or the build refuses. They do not prove presentation correctness — for example, a debit balance on a creditor line (overpaid corporation tax) still presents inside creditors; presentation is covered only by the golden and regression tests.</w:t>
      </w:r>
    </w:p>
    <w:p>
      <w:pPr>
        <w:pStyle w:val="ListBullet"/>
      </w:pPr>
      <w:r>
        <w:t>Every critical finding from the independent code review was reproduced by execution, fixed, and encoded as a regression test.</w:t>
      </w:r>
    </w:p>
    <w:p>
      <w:pPr>
        <w:pStyle w:val="ListBullet"/>
      </w:pPr>
      <w:r>
        <w:t>SCOPE LIMIT (stated plainly): the build pack contains the deterministic engine, one content pack, and tests. Auth, tenancy, webhooks, database and HTTP code do NOT exist in this artifact — those pillars are design-level here and MUST be reviewed as code when the service layer lands (Weeks 1–2, per the acceptance criteria in §9/§10).</w:t>
      </w:r>
    </w:p>
    <w:p>
      <w:pPr>
        <w:pStyle w:val="ListBullet"/>
      </w:pPr>
      <w:r>
        <w:t>The qualified reviewer sign-off of statutory wording remains the standing gate before client use.</w:t>
      </w:r>
    </w:p>
    <w:p>
      <w:pPr>
        <w:pStyle w:val="Heading2"/>
      </w:pPr>
      <w:r>
        <w:rPr>
          <w:color w:val="1F6F3B"/>
        </w:rPr>
        <w:t>1.2 Platform &amp; framework decisions (source-verified)</w:t>
      </w:r>
    </w:p>
    <w:p>
      <w:pPr>
        <w:pStyle w:val="ListBullet"/>
      </w:pPr>
      <w:r>
        <w:t>PLATFORM: build on Kastree — one new entry point, shared engine, ingestion, RLS tenancy.</w:t>
      </w:r>
    </w:p>
    <w:p>
      <w:pPr>
        <w:pStyle w:val="ListBullet"/>
      </w:pPr>
      <w:r>
        <w:t>FRAMEWORK DIVERGENCE: same FRC standard, different company law, formats, thresholds. Irish micro per SI 301/2024 (FYs beginning on/after 1 Jan 2024): turnover ≤ €900,000, balance sheet ≤ €450,000, ≤ 10 employees — 2 of 3, current AND preceding year; Irish small ≤ €15m / €7.5m / ≤ 50; UK micro ≤ £1m / ≤ £500k. Two dropdowns (jurisdiction × standard).</w:t>
      </w:r>
    </w:p>
    <w:p>
      <w:pPr>
        <w:pStyle w:val="ListBullet"/>
      </w:pPr>
      <w:r>
        <w:t>Filing authorities (Phase 2): IE — Revenue Commissioners via ROS (iXBRL with CT1) + CRO; UK — HMRC + Companies House.</w:t>
      </w:r>
    </w:p>
    <w:p>
      <w:r>
        <w:br w:type="page"/>
      </w:r>
    </w:p>
    <w:p>
      <w:pPr>
        <w:pStyle w:val="Heading1"/>
      </w:pPr>
      <w:r>
        <w:rPr>
          <w:color w:val="1F6F3B"/>
        </w:rPr>
        <w:t>2. Standards Roadmap — Two-Dimensional Versioned Packs, Never Forks</w:t>
      </w:r>
    </w:p>
    <w:p>
      <w:pPr>
        <w:pStyle w:val="Heading2"/>
      </w:pPr>
      <w:r>
        <w:rPr>
          <w:color w:val="1F6F3B"/>
        </w:rPr>
        <w:t>2.1 Pack selector</w:t>
      </w:r>
    </w:p>
    <w:tbl>
      <w:tblPr>
        <w:tblStyle w:val="LightGrid-Accent6"/>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Options</w:t>
            </w:r>
          </w:p>
        </w:tc>
        <w:tc>
          <w:tcPr>
            <w:tcW w:type="dxa" w:w="2880"/>
          </w:tcPr>
          <w:p>
            <w:r>
              <w:rPr>
                <w:b/>
              </w:rPr>
              <w:t>What it changes</w:t>
            </w:r>
          </w:p>
        </w:tc>
      </w:tr>
      <w:tr>
        <w:tc>
          <w:tcPr>
            <w:tcW w:type="dxa" w:w="2880"/>
          </w:tcPr>
          <w:p>
            <w:r>
              <w:t>JURISDICTION</w:t>
            </w:r>
          </w:p>
        </w:tc>
        <w:tc>
          <w:tcPr>
            <w:tcW w:type="dxa" w:w="2880"/>
          </w:tcPr>
          <w:p>
            <w:r>
              <w:t>IE | UK</w:t>
            </w:r>
          </w:p>
        </w:tc>
        <w:tc>
          <w:tcPr>
            <w:tcW w:type="dxa" w:w="2880"/>
          </w:tcPr>
          <w:p>
            <w:r>
              <w:t>Company law; presentation formats (Sch 3A Pt II vs UK Schedule 1); size thresholds (SI 301/2024 for IE); disclosures (Appendix D vs C); statutory wording; filing regimes</w:t>
            </w:r>
          </w:p>
        </w:tc>
      </w:tr>
      <w:tr>
        <w:tc>
          <w:tcPr>
            <w:tcW w:type="dxa" w:w="2880"/>
          </w:tcPr>
          <w:p>
            <w:r>
              <w:t>STANDARD</w:t>
            </w:r>
          </w:p>
        </w:tc>
        <w:tc>
          <w:tcPr>
            <w:tcW w:type="dxa" w:w="2880"/>
          </w:tcPr>
          <w:p>
            <w:r>
              <w:t>FRS 102 Section 1A | Full FRS 102 | FRS 105</w:t>
            </w:r>
          </w:p>
        </w:tc>
        <w:tc>
          <w:tcPr>
            <w:tcW w:type="dxa" w:w="2880"/>
          </w:tcPr>
          <w:p>
            <w:r>
              <w:t>Statement set, disclosure depth, size eligibility, cash-flow/SoCIE presence</w:t>
            </w:r>
          </w:p>
        </w:tc>
      </w:tr>
    </w:tbl>
    <w:p/>
    <w:p>
      <w:r>
        <w:rPr>
          <w:b w:val="0"/>
          <w:i/>
        </w:rPr>
        <w:t>Pack identity = &lt;standard&gt;-&lt;jurisdiction&gt;, pinned by version (e.g. frs102-1a-ie @ 2024.09); each version lives in its own immutable directory content/&lt;pack&gt;/&lt;version&gt;/, resolved by engine/pack.py pack_dir(). Each pack carries: a pack.json manifest (VERSION + effective_from — a period starting before the pack’s effective date is refused at pinning), statement templates, statutory wording, disclosure checklist with sourceRefs, and a thresholds block (planned — not yet present in pack.json). Classification is standard-independent — the shared mapping engine serves all packs; packs govern presentation only.</w:t>
      </w:r>
    </w:p>
    <w:p>
      <w:pPr>
        <w:pStyle w:val="Heading2"/>
      </w:pPr>
      <w:r>
        <w:rPr>
          <w:color w:val="1F6F3B"/>
        </w:rPr>
        <w:t>2.2 Pack roadmap</w:t>
      </w:r>
    </w:p>
    <w:tbl>
      <w:tblPr>
        <w:tblStyle w:val="LightGrid-Accent6"/>
        <w:tblW w:type="auto" w:w="0"/>
        <w:tblLook w:firstColumn="1" w:firstRow="1" w:lastColumn="0" w:lastRow="0" w:noHBand="0" w:noVBand="1" w:val="04A0"/>
      </w:tblPr>
      <w:tblGrid>
        <w:gridCol w:w="2880"/>
        <w:gridCol w:w="2880"/>
        <w:gridCol w:w="2880"/>
      </w:tblGrid>
      <w:tr>
        <w:tc>
          <w:tcPr>
            <w:tcW w:type="dxa" w:w="2880"/>
          </w:tcPr>
          <w:p>
            <w:r>
              <w:rPr>
                <w:b/>
              </w:rPr>
              <w:t>Pack</w:t>
            </w:r>
          </w:p>
        </w:tc>
        <w:tc>
          <w:tcPr>
            <w:tcW w:type="dxa" w:w="2880"/>
          </w:tcPr>
          <w:p>
            <w:r>
              <w:rPr>
                <w:b/>
              </w:rPr>
              <w:t>Contents</w:t>
            </w:r>
          </w:p>
        </w:tc>
        <w:tc>
          <w:tcPr>
            <w:tcW w:type="dxa" w:w="2880"/>
          </w:tcPr>
          <w:p>
            <w:r>
              <w:rPr>
                <w:b/>
              </w:rPr>
              <w:t>When</w:t>
            </w:r>
          </w:p>
        </w:tc>
      </w:tr>
      <w:tr>
        <w:tc>
          <w:tcPr>
            <w:tcW w:type="dxa" w:w="2880"/>
          </w:tcPr>
          <w:p>
            <w:r>
              <w:t>frs102-1a-ie-2024.09</w:t>
            </w:r>
          </w:p>
        </w:tc>
        <w:tc>
          <w:tcPr>
            <w:tcW w:type="dxa" w:w="2880"/>
          </w:tcPr>
          <w:p>
            <w:r>
              <w:t>MVP — SoFP (Sch 3A Pt II: separate intangible line, ROU/lease lines, stocks), statutory IS, notes, full Appendix D checklist</w:t>
            </w:r>
          </w:p>
        </w:tc>
        <w:tc>
          <w:tcPr>
            <w:tcW w:type="dxa" w:w="2880"/>
          </w:tcPr>
          <w:p>
            <w:r>
              <w:t>Week 12</w:t>
            </w:r>
          </w:p>
        </w:tc>
      </w:tr>
      <w:tr>
        <w:tc>
          <w:tcPr>
            <w:tcW w:type="dxa" w:w="2880"/>
          </w:tcPr>
          <w:p>
            <w:r>
              <w:t>frs102-1a-uk-*</w:t>
            </w:r>
          </w:p>
        </w:tc>
        <w:tc>
          <w:tcPr>
            <w:tcW w:type="dxa" w:w="2880"/>
          </w:tcPr>
          <w:p>
            <w:r>
              <w:t>Appendix C (1AC) + CA 2006 + UK formats/thresholds</w:t>
            </w:r>
          </w:p>
        </w:tc>
        <w:tc>
          <w:tcPr>
            <w:tcW w:type="dxa" w:w="2880"/>
          </w:tcPr>
          <w:p>
            <w:r>
              <w:t>~2 weeks post-MVP</w:t>
            </w:r>
          </w:p>
        </w:tc>
      </w:tr>
      <w:tr>
        <w:tc>
          <w:tcPr>
            <w:tcW w:type="dxa" w:w="2880"/>
          </w:tcPr>
          <w:p>
            <w:r>
              <w:t>frs102-full-ie/uk-*</w:t>
            </w:r>
          </w:p>
        </w:tc>
        <w:tc>
          <w:tcPr>
            <w:tcW w:type="dxa" w:w="2880"/>
          </w:tcPr>
          <w:p>
            <w:r>
              <w:t>OCI/SoCI, SoCIE, cash flow, statutory pages, ~20 extra notes</w:t>
            </w:r>
          </w:p>
        </w:tc>
        <w:tc>
          <w:tcPr>
            <w:tcW w:type="dxa" w:w="2880"/>
          </w:tcPr>
          <w:p>
            <w:r>
              <w:t>~6 weeks</w:t>
            </w:r>
          </w:p>
        </w:tc>
      </w:tr>
      <w:tr>
        <w:tc>
          <w:tcPr>
            <w:tcW w:type="dxa" w:w="2880"/>
          </w:tcPr>
          <w:p>
            <w:r>
              <w:t>frs105-ie/uk-*</w:t>
            </w:r>
          </w:p>
        </w:tc>
        <w:tc>
          <w:tcPr>
            <w:tcW w:type="dxa" w:w="2880"/>
          </w:tcPr>
          <w:p>
            <w:r>
              <w:t>Micro-entity short packs</w:t>
            </w:r>
          </w:p>
        </w:tc>
        <w:tc>
          <w:tcPr>
            <w:tcW w:type="dxa" w:w="2880"/>
          </w:tcPr>
          <w:p>
            <w:r>
              <w:t>~2–3 weeks</w:t>
            </w:r>
          </w:p>
        </w:tc>
      </w:tr>
      <w:tr>
        <w:tc>
          <w:tcPr>
            <w:tcW w:type="dxa" w:w="2880"/>
          </w:tcPr>
          <w:p>
            <w:r>
              <w:t>ifrs-*</w:t>
            </w:r>
          </w:p>
        </w:tc>
        <w:tc>
          <w:tcPr>
            <w:tcW w:type="dxa" w:w="2880"/>
          </w:tcPr>
          <w:p>
            <w:r>
              <w:t>Structurally distinct; architecture admits with zero engine changes</w:t>
            </w:r>
          </w:p>
        </w:tc>
        <w:tc>
          <w:tcPr>
            <w:tcW w:type="dxa" w:w="2880"/>
          </w:tcPr>
          <w:p>
            <w:r>
              <w:t>Later</w:t>
            </w:r>
          </w:p>
        </w:tc>
      </w:tr>
    </w:tbl>
    <w:p/>
    <w:p>
      <w:r>
        <w:br w:type="page"/>
      </w:r>
    </w:p>
    <w:p>
      <w:pPr>
        <w:pStyle w:val="Heading1"/>
      </w:pPr>
      <w:r>
        <w:rPr>
          <w:color w:val="1F6F3B"/>
        </w:rPr>
        <w:t>3. Accurri Feature Set — Build Requirements</w:t>
      </w:r>
    </w:p>
    <w:tbl>
      <w:tblPr>
        <w:tblStyle w:val="LightGrid-Accent6"/>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Accurri behaviour</w:t>
            </w:r>
          </w:p>
        </w:tc>
        <w:tc>
          <w:tcPr>
            <w:tcW w:type="dxa" w:w="2160"/>
          </w:tcPr>
          <w:p>
            <w:r>
              <w:rPr>
                <w:b/>
              </w:rPr>
              <w:t>Requirement</w:t>
            </w:r>
          </w:p>
        </w:tc>
        <w:tc>
          <w:tcPr>
            <w:tcW w:type="dxa" w:w="2160"/>
          </w:tcPr>
          <w:p>
            <w:r>
              <w:rPr>
                <w:b/>
              </w:rPr>
              <w:t>MVP?</w:t>
            </w:r>
          </w:p>
        </w:tc>
      </w:tr>
      <w:tr>
        <w:tc>
          <w:tcPr>
            <w:tcW w:type="dxa" w:w="2160"/>
          </w:tcPr>
          <w:p>
            <w:r>
              <w:t>A1</w:t>
            </w:r>
          </w:p>
        </w:tc>
        <w:tc>
          <w:tcPr>
            <w:tcW w:type="dxa" w:w="2160"/>
          </w:tcPr>
          <w:p>
            <w:r>
              <w:t>Sections navigator</w:t>
            </w:r>
          </w:p>
        </w:tc>
        <w:tc>
          <w:tcPr>
            <w:tcW w:type="dxa" w:w="2160"/>
          </w:tcPr>
          <w:p>
            <w:r>
              <w:t>Statement-pack tree; auto-enabled per pack</w:t>
            </w:r>
          </w:p>
        </w:tc>
        <w:tc>
          <w:tcPr>
            <w:tcW w:type="dxa" w:w="2160"/>
          </w:tcPr>
          <w:p>
            <w:r>
              <w:t>Yes</w:t>
            </w:r>
          </w:p>
        </w:tc>
      </w:tr>
      <w:tr>
        <w:tc>
          <w:tcPr>
            <w:tcW w:type="dxa" w:w="2160"/>
          </w:tcPr>
          <w:p>
            <w:r>
              <w:t>A2</w:t>
            </w:r>
          </w:p>
        </w:tc>
        <w:tc>
          <w:tcPr>
            <w:tcW w:type="dxa" w:w="2160"/>
          </w:tcPr>
          <w:p>
            <w:r>
              <w:t>Report options dialog per statement</w:t>
            </w:r>
          </w:p>
        </w:tc>
        <w:tc>
          <w:tcPr>
            <w:tcW w:type="dxa" w:w="2160"/>
          </w:tcPr>
          <w:p>
            <w:r>
              <w:t>Options model; firm → client inheritance</w:t>
            </w:r>
          </w:p>
        </w:tc>
        <w:tc>
          <w:tcPr>
            <w:tcW w:type="dxa" w:w="2160"/>
          </w:tcPr>
          <w:p>
            <w:r>
              <w:t>Yes</w:t>
            </w:r>
          </w:p>
        </w:tc>
      </w:tr>
      <w:tr>
        <w:tc>
          <w:tcPr>
            <w:tcW w:type="dxa" w:w="2160"/>
          </w:tcPr>
          <w:p>
            <w:r>
              <w:t>A3</w:t>
            </w:r>
          </w:p>
        </w:tc>
        <w:tc>
          <w:tcPr>
            <w:tcW w:type="dxa" w:w="2160"/>
          </w:tcPr>
          <w:p>
            <w:r>
              <w:t>Rounding discrepancies flagged, linked to CoA</w:t>
            </w:r>
          </w:p>
        </w:tc>
        <w:tc>
          <w:tcPr>
            <w:tcW w:type="dxa" w:w="2160"/>
          </w:tcPr>
          <w:p>
            <w:r>
              <w:t>Rounding-flag engine; URL-encoded deep-link (§7.7)</w:t>
            </w:r>
          </w:p>
        </w:tc>
        <w:tc>
          <w:tcPr>
            <w:tcW w:type="dxa" w:w="2160"/>
          </w:tcPr>
          <w:p>
            <w:r>
              <w:t>Yes</w:t>
            </w:r>
          </w:p>
        </w:tc>
      </w:tr>
      <w:tr>
        <w:tc>
          <w:tcPr>
            <w:tcW w:type="dxa" w:w="2160"/>
          </w:tcPr>
          <w:p>
            <w:r>
              <w:t>A4</w:t>
            </w:r>
          </w:p>
        </w:tc>
        <w:tc>
          <w:tcPr>
            <w:tcW w:type="dxa" w:w="2160"/>
          </w:tcPr>
          <w:p>
            <w:r>
              <w:t>Cell menus, text blocks, comments</w:t>
            </w:r>
          </w:p>
        </w:tc>
        <w:tc>
          <w:tcPr>
            <w:tcW w:type="dxa" w:w="2160"/>
          </w:tcPr>
          <w:p>
            <w:r>
              <w:t>Editing + text blocks; comments/Resolve v1.1</w:t>
            </w:r>
          </w:p>
        </w:tc>
        <w:tc>
          <w:tcPr>
            <w:tcW w:type="dxa" w:w="2160"/>
          </w:tcPr>
          <w:p>
            <w:r>
              <w:t>PARTIAL</w:t>
            </w:r>
          </w:p>
        </w:tc>
      </w:tr>
      <w:tr>
        <w:tc>
          <w:tcPr>
            <w:tcW w:type="dxa" w:w="2160"/>
          </w:tcPr>
          <w:p>
            <w:r>
              <w:t>A5</w:t>
            </w:r>
          </w:p>
        </w:tc>
        <w:tc>
          <w:tcPr>
            <w:tcW w:type="dxa" w:w="2160"/>
          </w:tcPr>
          <w:p>
            <w:r>
              <w:t>Reclassification highlighting</w:t>
            </w:r>
          </w:p>
        </w:tc>
        <w:tc>
          <w:tcPr>
            <w:tcW w:type="dxa" w:w="2160"/>
          </w:tcPr>
          <w:p>
            <w:r>
              <w:t>Reclass journal renders highlighted rows</w:t>
            </w:r>
          </w:p>
        </w:tc>
        <w:tc>
          <w:tcPr>
            <w:tcW w:type="dxa" w:w="2160"/>
          </w:tcPr>
          <w:p>
            <w:r>
              <w:t>Yes</w:t>
            </w:r>
          </w:p>
        </w:tc>
      </w:tr>
      <w:tr>
        <w:tc>
          <w:tcPr>
            <w:tcW w:type="dxa" w:w="2160"/>
          </w:tcPr>
          <w:p>
            <w:r>
              <w:t>A6</w:t>
            </w:r>
          </w:p>
        </w:tc>
        <w:tc>
          <w:tcPr>
            <w:tcW w:type="dxa" w:w="2160"/>
          </w:tcPr>
          <w:p>
            <w:r>
              <w:t>Import/Export Disclosures</w:t>
            </w:r>
          </w:p>
        </w:tc>
        <w:tc>
          <w:tcPr>
            <w:tcW w:type="dxa" w:w="2160"/>
          </w:tcPr>
          <w:p>
            <w:r>
              <w:t>Disclosure library import/export</w:t>
            </w:r>
          </w:p>
        </w:tc>
        <w:tc>
          <w:tcPr>
            <w:tcW w:type="dxa" w:w="2160"/>
          </w:tcPr>
          <w:p>
            <w:r>
              <w:t>v1.1</w:t>
            </w:r>
          </w:p>
        </w:tc>
      </w:tr>
      <w:tr>
        <w:tc>
          <w:tcPr>
            <w:tcW w:type="dxa" w:w="2160"/>
          </w:tcPr>
          <w:p>
            <w:r>
              <w:t>A7</w:t>
            </w:r>
          </w:p>
        </w:tc>
        <w:tc>
          <w:tcPr>
            <w:tcW w:type="dxa" w:w="2160"/>
          </w:tcPr>
          <w:p>
            <w:r>
              <w:t>In-statement formatting toolbar</w:t>
            </w:r>
          </w:p>
        </w:tc>
        <w:tc>
          <w:tcPr>
            <w:tcW w:type="dxa" w:w="2160"/>
          </w:tcPr>
          <w:p>
            <w:r>
              <w:t>Text-scoped only</w:t>
            </w:r>
          </w:p>
        </w:tc>
        <w:tc>
          <w:tcPr>
            <w:tcW w:type="dxa" w:w="2160"/>
          </w:tcPr>
          <w:p>
            <w:r>
              <w:t>Yes</w:t>
            </w:r>
          </w:p>
        </w:tc>
      </w:tr>
      <w:tr>
        <w:tc>
          <w:tcPr>
            <w:tcW w:type="dxa" w:w="2160"/>
          </w:tcPr>
          <w:p>
            <w:r>
              <w:t>A8</w:t>
            </w:r>
          </w:p>
        </w:tc>
        <w:tc>
          <w:tcPr>
            <w:tcW w:type="dxa" w:w="2160"/>
          </w:tcPr>
          <w:p>
            <w:r>
              <w:t>Cash-flow working column beside SoFP</w:t>
            </w:r>
          </w:p>
        </w:tc>
        <w:tc>
          <w:tcPr>
            <w:tcW w:type="dxa" w:w="2160"/>
          </w:tcPr>
          <w:p>
            <w:r>
              <w:t>Optional linked columns</w:t>
            </w:r>
          </w:p>
        </w:tc>
        <w:tc>
          <w:tcPr>
            <w:tcW w:type="dxa" w:w="2160"/>
          </w:tcPr>
          <w:p>
            <w:r>
              <w:t>v1.1 (DECIDED v6.6 — cash-flow statement is a §4.3 non-goal)</w:t>
            </w:r>
          </w:p>
        </w:tc>
      </w:tr>
      <w:tr>
        <w:tc>
          <w:tcPr>
            <w:tcW w:type="dxa" w:w="2160"/>
          </w:tcPr>
          <w:p>
            <w:r>
              <w:t>A9</w:t>
            </w:r>
          </w:p>
        </w:tc>
        <w:tc>
          <w:tcPr>
            <w:tcW w:type="dxa" w:w="2160"/>
          </w:tcPr>
          <w:p>
            <w:r>
              <w:t>Outputs tabs + module rail</w:t>
            </w:r>
          </w:p>
        </w:tc>
        <w:tc>
          <w:tcPr>
            <w:tcW w:type="dxa" w:w="2160"/>
          </w:tcPr>
          <w:p>
            <w:r>
              <w:t>Review dashboard rail</w:t>
            </w:r>
          </w:p>
        </w:tc>
        <w:tc>
          <w:tcPr>
            <w:tcW w:type="dxa" w:w="2160"/>
          </w:tcPr>
          <w:p>
            <w:r>
              <w:t>Yes (subset)</w:t>
            </w:r>
          </w:p>
        </w:tc>
      </w:tr>
      <w:tr>
        <w:tc>
          <w:tcPr>
            <w:tcW w:type="dxa" w:w="2160"/>
          </w:tcPr>
          <w:p>
            <w:r>
              <w:t>A10</w:t>
            </w:r>
          </w:p>
        </w:tc>
        <w:tc>
          <w:tcPr>
            <w:tcW w:type="dxa" w:w="2160"/>
          </w:tcPr>
          <w:p>
            <w:r>
              <w:t>Import adjustments; allocation comments</w:t>
            </w:r>
          </w:p>
        </w:tc>
        <w:tc>
          <w:tcPr>
            <w:tcW w:type="dxa" w:w="2160"/>
          </w:tcPr>
          <w:p>
            <w:r>
              <w:t>Adjustment import; per-line comments</w:t>
            </w:r>
          </w:p>
        </w:tc>
        <w:tc>
          <w:tcPr>
            <w:tcW w:type="dxa" w:w="2160"/>
          </w:tcPr>
          <w:p>
            <w:r>
              <w:t>Yes</w:t>
            </w:r>
          </w:p>
        </w:tc>
      </w:tr>
      <w:tr>
        <w:tc>
          <w:tcPr>
            <w:tcW w:type="dxa" w:w="2160"/>
          </w:tcPr>
          <w:p>
            <w:r>
              <w:t>A11</w:t>
            </w:r>
          </w:p>
        </w:tc>
        <w:tc>
          <w:tcPr>
            <w:tcW w:type="dxa" w:w="2160"/>
          </w:tcPr>
          <w:p>
            <w:r>
              <w:t>Lock draft → read-only</w:t>
            </w:r>
          </w:p>
        </w:tc>
        <w:tc>
          <w:tcPr>
            <w:tcW w:type="dxa" w:w="2160"/>
          </w:tcPr>
          <w:p>
            <w:r>
              <w:t>Versioned draft locking (DB-enforced)</w:t>
            </w:r>
          </w:p>
        </w:tc>
        <w:tc>
          <w:tcPr>
            <w:tcW w:type="dxa" w:w="2160"/>
          </w:tcPr>
          <w:p>
            <w:r>
              <w:t>Yes</w:t>
            </w:r>
          </w:p>
        </w:tc>
      </w:tr>
      <w:tr>
        <w:tc>
          <w:tcPr>
            <w:tcW w:type="dxa" w:w="2160"/>
          </w:tcPr>
          <w:p>
            <w:r>
              <w:t>A12</w:t>
            </w:r>
          </w:p>
        </w:tc>
        <w:tc>
          <w:tcPr>
            <w:tcW w:type="dxa" w:w="2160"/>
          </w:tcPr>
          <w:p>
            <w:r>
              <w:t>Roll forward</w:t>
            </w:r>
          </w:p>
        </w:tc>
        <w:tc>
          <w:tcPr>
            <w:tcW w:type="dxa" w:w="2160"/>
          </w:tcPr>
          <w:p>
            <w:r>
              <w:t>Period roll-forward engine</w:t>
            </w:r>
          </w:p>
        </w:tc>
        <w:tc>
          <w:tcPr>
            <w:tcW w:type="dxa" w:w="2160"/>
          </w:tcPr>
          <w:p>
            <w:r>
              <w:t>v1.1 (DECIDED v6.6)</w:t>
            </w:r>
          </w:p>
        </w:tc>
      </w:tr>
    </w:tbl>
    <w:p/>
    <w:p>
      <w:r>
        <w:br w:type="page"/>
      </w:r>
    </w:p>
    <w:p>
      <w:pPr>
        <w:pStyle w:val="Heading1"/>
      </w:pPr>
      <w:r>
        <w:rPr>
          <w:color w:val="1F6F3B"/>
        </w:rPr>
        <w:t>4. Product Specification — Complete</w:t>
      </w:r>
    </w:p>
    <w:p>
      <w:pPr>
        <w:pStyle w:val="Heading2"/>
      </w:pPr>
      <w:r>
        <w:rPr>
          <w:color w:val="1F6F3B"/>
        </w:rPr>
        <w:t>4.1 Product identity</w:t>
      </w:r>
    </w:p>
    <w:p>
      <w:r>
        <w:rPr>
          <w:b w:val="0"/>
          <w:i w:val="0"/>
        </w:rPr>
        <w:t>FinDraft. Platform: Kastree (existing entry point). Jurisdiction: Ireland (MVP), UK (fast-follow). Framework: FRS 102 Section 1A. Users: practice accountants.</w:t>
      </w:r>
    </w:p>
    <w:p>
      <w:pPr>
        <w:pStyle w:val="Heading2"/>
      </w:pPr>
      <w:r>
        <w:rPr>
          <w:color w:val="1F6F3B"/>
        </w:rPr>
        <w:t>4.2 Goals (MVP)</w:t>
      </w:r>
    </w:p>
    <w:tbl>
      <w:tblPr>
        <w:tblStyle w:val="LightGrid-Accent6"/>
        <w:tblW w:type="auto" w:w="0"/>
        <w:tblLook w:firstColumn="1" w:firstRow="1" w:lastColumn="0" w:lastRow="0" w:noHBand="0" w:noVBand="1" w:val="04A0"/>
      </w:tblPr>
      <w:tblGrid>
        <w:gridCol w:w="4320"/>
        <w:gridCol w:w="4320"/>
      </w:tblGrid>
      <w:tr>
        <w:tc>
          <w:tcPr>
            <w:tcW w:type="dxa" w:w="4320"/>
          </w:tcPr>
          <w:p>
            <w:r>
              <w:rPr>
                <w:b/>
              </w:rPr>
              <w:t>#</w:t>
            </w:r>
          </w:p>
        </w:tc>
        <w:tc>
          <w:tcPr>
            <w:tcW w:type="dxa" w:w="4320"/>
          </w:tcPr>
          <w:p>
            <w:r>
              <w:rPr>
                <w:b/>
              </w:rPr>
              <w:t>Goal</w:t>
            </w:r>
          </w:p>
        </w:tc>
      </w:tr>
      <w:tr>
        <w:tc>
          <w:tcPr>
            <w:tcW w:type="dxa" w:w="4320"/>
          </w:tcPr>
          <w:p>
            <w:r>
              <w:t>G1</w:t>
            </w:r>
          </w:p>
        </w:tc>
        <w:tc>
          <w:tcPr>
            <w:tcW w:type="dxa" w:w="4320"/>
          </w:tcPr>
          <w:p>
            <w:r>
              <w:t>TB ingestion: CSV/Excel parser; debits=credits validation; TBLine validates finite non-negative Decimal debits/credits</w:t>
            </w:r>
          </w:p>
        </w:tc>
      </w:tr>
      <w:tr>
        <w:tc>
          <w:tcPr>
            <w:tcW w:type="dxa" w:w="4320"/>
          </w:tcPr>
          <w:p>
            <w:r>
              <w:t>G2</w:t>
            </w:r>
          </w:p>
        </w:tc>
        <w:tc>
          <w:tcPr>
            <w:tcW w:type="dxa" w:w="4320"/>
          </w:tcPr>
          <w:p>
            <w:r>
              <w:t>Prior-year validation gate (V-GATE-001 BLOCKED until prior-year figures are confirmed via the manual entry form, or the first-financial-period path is taken; LLM extraction v1.1)</w:t>
            </w:r>
          </w:p>
        </w:tc>
      </w:tr>
      <w:tr>
        <w:tc>
          <w:tcPr>
            <w:tcW w:type="dxa" w:w="4320"/>
          </w:tcPr>
          <w:p>
            <w:r>
              <w:t>G3</w:t>
            </w:r>
          </w:p>
        </w:tc>
        <w:tc>
          <w:tcPr>
            <w:tcW w:type="dxa" w:w="4320"/>
          </w:tcPr>
          <w:p>
            <w:r>
              <w:t>Mapping engine: word-boundary confidence; P&amp;L-wording and director/loan exclusions; overdraft reclassification (canonical BANK_OVERDRAFT, presented within creditors &lt;1yr) per account; heuristics capped &lt;80</w:t>
            </w:r>
          </w:p>
        </w:tc>
      </w:tr>
      <w:tr>
        <w:tc>
          <w:tcPr>
            <w:tcW w:type="dxa" w:w="4320"/>
          </w:tcPr>
          <w:p>
            <w:r>
              <w:t>G4</w:t>
            </w:r>
          </w:p>
        </w:tc>
        <w:tc>
          <w:tcPr>
            <w:tcW w:type="dxa" w:w="4320"/>
          </w:tcPr>
          <w:p>
            <w:r>
              <w:t>Reconciliation: no-silent-pass checks; consumed-lines assertion (build-time refusal — ValueError listing unpresented canonical lines); FA/RE roll-forwards (transition slot); pack-driven review rules (a rule that cannot be evaluated reports CRITICAL and blocks FINAL — fails closed)</w:t>
            </w:r>
          </w:p>
        </w:tc>
      </w:tr>
      <w:tr>
        <w:tc>
          <w:tcPr>
            <w:tcW w:type="dxa" w:w="4320"/>
          </w:tcPr>
          <w:p>
            <w:r>
              <w:t>G5</w:t>
            </w:r>
          </w:p>
        </w:tc>
        <w:tc>
          <w:tcPr>
            <w:tcW w:type="dxa" w:w="4320"/>
          </w:tcPr>
          <w:p>
            <w:r>
              <w:t>Statement generator: statutory SoFP (intangibles separate, ROU/lease lines, stocks) + IS (one profit definition consumed by both builders; signed comparatives) + notes; DRAFT watermark</w:t>
            </w:r>
          </w:p>
        </w:tc>
      </w:tr>
      <w:tr>
        <w:tc>
          <w:tcPr>
            <w:tcW w:type="dxa" w:w="4320"/>
          </w:tcPr>
          <w:p>
            <w:r>
              <w:t>G6</w:t>
            </w:r>
          </w:p>
        </w:tc>
        <w:tc>
          <w:tcPr>
            <w:tcW w:type="dxa" w:w="4320"/>
          </w:tcPr>
          <w:p>
            <w:r>
              <w:t>Accurri behaviours — MVP set</w:t>
            </w:r>
          </w:p>
        </w:tc>
      </w:tr>
      <w:tr>
        <w:tc>
          <w:tcPr>
            <w:tcW w:type="dxa" w:w="4320"/>
          </w:tcPr>
          <w:p>
            <w:r>
              <w:t>G7</w:t>
            </w:r>
          </w:p>
        </w:tc>
        <w:tc>
          <w:tcPr>
            <w:tcW w:type="dxa" w:w="4320"/>
          </w:tcPr>
          <w:p>
            <w:r>
              <w:t>Evidence graph</w:t>
            </w:r>
          </w:p>
        </w:tc>
      </w:tr>
      <w:tr>
        <w:tc>
          <w:tcPr>
            <w:tcW w:type="dxa" w:w="4320"/>
          </w:tcPr>
          <w:p>
            <w:r>
              <w:t>G8</w:t>
            </w:r>
          </w:p>
        </w:tc>
        <w:tc>
          <w:tcPr>
            <w:tcW w:type="dxa" w:w="4320"/>
          </w:tcPr>
          <w:p>
            <w:r>
              <w:t>Review dashboard; adjustments; audit trail</w:t>
            </w:r>
          </w:p>
        </w:tc>
      </w:tr>
      <w:tr>
        <w:tc>
          <w:tcPr>
            <w:tcW w:type="dxa" w:w="4320"/>
          </w:tcPr>
          <w:p>
            <w:r>
              <w:t>G9</w:t>
            </w:r>
          </w:p>
        </w:tc>
        <w:tc>
          <w:tcPr>
            <w:tcW w:type="dxa" w:w="4320"/>
          </w:tcPr>
          <w:p>
            <w:r>
              <w:t>Document upload &amp; 16-type classification</w:t>
            </w:r>
          </w:p>
        </w:tc>
      </w:tr>
      <w:tr>
        <w:tc>
          <w:tcPr>
            <w:tcW w:type="dxa" w:w="4320"/>
          </w:tcPr>
          <w:p>
            <w:r>
              <w:t>G10</w:t>
            </w:r>
          </w:p>
        </w:tc>
        <w:tc>
          <w:tcPr>
            <w:tcW w:type="dxa" w:w="4320"/>
          </w:tcPr>
          <w:p>
            <w:r>
              <w:t>Roll-forward + report styles (Week 13)</w:t>
            </w:r>
          </w:p>
        </w:tc>
      </w:tr>
      <w:tr>
        <w:tc>
          <w:tcPr>
            <w:tcW w:type="dxa" w:w="4320"/>
          </w:tcPr>
          <w:p>
            <w:r>
              <w:t>G11</w:t>
            </w:r>
          </w:p>
        </w:tc>
        <w:tc>
          <w:tcPr>
            <w:tcW w:type="dxa" w:w="4320"/>
          </w:tcPr>
          <w:p>
            <w:r>
              <w:t>Two-dimensional pack selector + thresholds warnings</w:t>
            </w:r>
          </w:p>
        </w:tc>
      </w:tr>
    </w:tbl>
    <w:p/>
    <w:p>
      <w:pPr>
        <w:pStyle w:val="Heading2"/>
      </w:pPr>
      <w:r>
        <w:rPr>
          <w:color w:val="1F6F3B"/>
        </w:rPr>
        <w:t>4.3 Non-goals (scope lock — MVP)</w:t>
      </w:r>
    </w:p>
    <w:p>
      <w:pPr>
        <w:pStyle w:val="ListBullet"/>
      </w:pPr>
      <w:r>
        <w:t>iXBRL &amp; filing — Phase 2 (IE: Revenue ROS + CRO; UK: HMRC + Companies House)</w:t>
      </w:r>
    </w:p>
    <w:p>
      <w:pPr>
        <w:pStyle w:val="ListBullet"/>
      </w:pPr>
      <w:r>
        <w:t>Ledger APIs</w:t>
      </w:r>
    </w:p>
    <w:p>
      <w:pPr>
        <w:pStyle w:val="ListBullet"/>
      </w:pPr>
      <w:r>
        <w:t>OCR</w:t>
      </w:r>
    </w:p>
    <w:p>
      <w:pPr>
        <w:pStyle w:val="ListBullet"/>
      </w:pPr>
      <w:r>
        <w:t>Cash-flow statement (the small-company directors' report IS in scope — members' accounts)</w:t>
      </w:r>
    </w:p>
    <w:p>
      <w:pPr>
        <w:pStyle w:val="ListBullet"/>
      </w:pPr>
      <w:r>
        <w:t>FRS 105/101/IFRS packs</w:t>
      </w:r>
    </w:p>
    <w:p>
      <w:pPr>
        <w:pStyle w:val="ListBullet"/>
      </w:pPr>
      <w:r>
        <w:t>Consolidations</w:t>
      </w:r>
    </w:p>
    <w:p>
      <w:pPr>
        <w:pStyle w:val="ListBullet"/>
      </w:pPr>
      <w:r>
        <w:t>Anomaly ML, client emails</w:t>
      </w:r>
    </w:p>
    <w:p>
      <w:pPr>
        <w:pStyle w:val="ListBullet"/>
      </w:pPr>
      <w:r>
        <w:t>A4 comments workflow — v1.1</w:t>
      </w:r>
    </w:p>
    <w:p>
      <w:pPr>
        <w:pStyle w:val="ListBullet"/>
      </w:pPr>
      <w:r>
        <w:t>A6 disclosure import/export — v1.1</w:t>
      </w:r>
    </w:p>
    <w:p>
      <w:pPr>
        <w:pStyle w:val="ListBullet"/>
      </w:pPr>
      <w:r>
        <w:t>LLM features (prior-year PDF extraction, mapping tie-break) — v1.1</w:t>
      </w:r>
    </w:p>
    <w:p>
      <w:pPr>
        <w:pStyle w:val="Heading2"/>
      </w:pPr>
      <w:r>
        <w:rPr>
          <w:color w:val="1F6F3B"/>
        </w:rPr>
        <w:t>4.4 Workflow (9 steps)</w:t>
      </w:r>
    </w:p>
    <w:p>
      <w:r>
        <w:rPr>
          <w:b/>
          <w:i w:val="0"/>
        </w:rPr>
        <w:t>Step 1 — Create client</w:t>
      </w:r>
    </w:p>
    <w:p>
      <w:r>
        <w:rPr>
          <w:b w:val="0"/>
          <w:i w:val="0"/>
        </w:rPr>
        <w:t>Details + jurisdiction + standard; thresholds check (2-of-3, current + preceding year)</w:t>
      </w:r>
    </w:p>
    <w:p>
      <w:r>
        <w:rPr>
          <w:b/>
          <w:i w:val="0"/>
        </w:rPr>
        <w:t>Step 2 — Upload source data</w:t>
      </w:r>
    </w:p>
    <w:p>
      <w:r>
        <w:rPr>
          <w:b w:val="0"/>
          <w:i w:val="0"/>
        </w:rPr>
        <w:t>TB (beta practices' ledger export formats), prior-year figures via the manual entry form (or first financial period), FA register, bank statements</w:t>
      </w:r>
    </w:p>
    <w:p>
      <w:r>
        <w:rPr>
          <w:b/>
          <w:i w:val="0"/>
        </w:rPr>
        <w:t>Step 2.5 — Prior-year validation gate (HARD GATE)</w:t>
      </w:r>
    </w:p>
    <w:p>
      <w:r>
        <w:rPr>
          <w:b w:val="0"/>
          <w:i w:val="0"/>
        </w:rPr>
        <w:t>V-GATE-001 BLOCKED until the prior-year figures are confirmed via the manual entry form (or the first-financial-period path with no comparatives); LLM extraction deferred to v1.1</w:t>
      </w:r>
    </w:p>
    <w:p>
      <w:r>
        <w:rPr>
          <w:b/>
          <w:i w:val="0"/>
        </w:rPr>
        <w:t>Step 3 — Mapping</w:t>
      </w:r>
    </w:p>
    <w:p>
      <w:r>
        <w:rPr>
          <w:b w:val="0"/>
          <w:i w:val="0"/>
        </w:rPr>
        <w:t>Confidence algorithm; exclusions (loans/directors/P&amp;L wording); overdrafts reclassify per account; &lt;50 → review queue (safe under-classification)</w:t>
      </w:r>
    </w:p>
    <w:p>
      <w:r>
        <w:rPr>
          <w:b/>
          <w:i w:val="0"/>
        </w:rPr>
        <w:t>Step 4 — Reconciliation (30s)</w:t>
      </w:r>
    </w:p>
    <w:p>
      <w:r>
        <w:rPr>
          <w:b w:val="0"/>
          <w:i w:val="0"/>
        </w:rPr>
        <w:t>Deterministic checks; every mapped line must be consumed by a statement or the build refuses (a ValueError naming the unpresented canonical lines — a build error, not a check ID); a pack rule that cannot be evaluated reports CRITICAL and blocks FINAL (fails closed)</w:t>
      </w:r>
    </w:p>
    <w:p>
      <w:r>
        <w:rPr>
          <w:b/>
          <w:i w:val="0"/>
        </w:rPr>
        <w:t>Step 5 — Review dashboard</w:t>
      </w:r>
    </w:p>
    <w:p>
      <w:r>
        <w:rPr>
          <w:b w:val="0"/>
          <w:i w:val="0"/>
        </w:rPr>
        <w:t>Red/amber/green; Resolve deep-links</w:t>
      </w:r>
    </w:p>
    <w:p>
      <w:r>
        <w:rPr>
          <w:b/>
          <w:i w:val="0"/>
        </w:rPr>
        <w:t>Step 6 — Generate Draft V1</w:t>
      </w:r>
    </w:p>
    <w:p>
      <w:r>
        <w:rPr>
          <w:b w:val="0"/>
          <w:i w:val="0"/>
        </w:rPr>
        <w:t>SoFP + IS + notes + directors' report + approval and audit-exemption statements; DRAFT watermark; policy wording from the pack (no LLM in MVP)</w:t>
      </w:r>
    </w:p>
    <w:p>
      <w:r>
        <w:rPr>
          <w:b/>
          <w:i w:val="0"/>
        </w:rPr>
        <w:t>Step 7 — Evidence graph</w:t>
      </w:r>
    </w:p>
    <w:p>
      <w:r>
        <w:rPr>
          <w:b w:val="0"/>
          <w:i w:val="0"/>
        </w:rPr>
        <w:t>Figure → TB → journals → documents</w:t>
      </w:r>
    </w:p>
    <w:p>
      <w:r>
        <w:rPr>
          <w:b/>
          <w:i w:val="0"/>
        </w:rPr>
        <w:t>Step 8 — Adjustments</w:t>
      </w:r>
    </w:p>
    <w:p>
      <w:r>
        <w:rPr>
          <w:b w:val="0"/>
          <w:i w:val="0"/>
        </w:rPr>
        <w:t>Journal; &lt;5s recalc; audit-trailed</w:t>
      </w:r>
    </w:p>
    <w:p>
      <w:r>
        <w:rPr>
          <w:b/>
          <w:i w:val="0"/>
        </w:rPr>
        <w:t>Step 9 — Final pack</w:t>
      </w:r>
    </w:p>
    <w:p>
      <w:r>
        <w:rPr>
          <w:b w:val="0"/>
          <w:i w:val="0"/>
        </w:rPr>
        <w:t>FINAL watermark; PDF + reconciliation report + audit CSV (CSV formula-escaped)</w:t>
      </w:r>
    </w:p>
    <w:p>
      <w:pPr>
        <w:pStyle w:val="Heading2"/>
      </w:pPr>
      <w:r>
        <w:rPr>
          <w:color w:val="1F6F3B"/>
        </w:rPr>
        <w:t>4.5 Statement pack structure</w:t>
      </w:r>
    </w:p>
    <w:p>
      <w:pPr>
        <w:pStyle w:val="ListBullet"/>
      </w:pPr>
      <w:r>
        <w:t>Statutory pages* (full-FRS-102 only; UI-hidden in 1A). Primary statements: SoPL (function-of-expense format, signed comparatives, single profit definition consumed by both builders), SoFP (Sch 3A Pt II: Intangible assets separate from Tangible assets, Right-of-use assets, Stocks, Lease liabilities &lt;1y within creditors and &gt;1y below TALCL), SoCIE*/CF*</w:t>
      </w:r>
    </w:p>
    <w:p>
      <w:pPr>
        <w:pStyle w:val="ListBullet"/>
      </w:pPr>
      <w:r>
        <w:t>Notes tree (1A): policies (2024 wording); fixed assets; debtors; creditors; loans; share capital &amp; reserves; related-party; employees (always included — CA 2014 s.317, examiner-flagged); commitments (all six triggers incl. SUBSEQUENT_EVENTS and UNCOMMITTED default False)</w:t>
      </w:r>
    </w:p>
    <w:p>
      <w:pPr>
        <w:pStyle w:val="ListBullet"/>
      </w:pPr>
      <w:r>
        <w:t>Auditor's report ATTACHMENT SLOT (audited clients): when the client is marked audited, the pack includes a placeholder page between the directors' responsibilities statement and the income statement; the practice attaches the signed auditor's report PDF issued by the audit firm at that slot. The system INSERTS the issued report — it NEVER generates auditor-report content (an audit opinion can only be issued by the auditor). The attachment is recorded in the audit trail (who attached, when, which draft version) and frozen in the FINAL snapshot. For unaudited small companies the slot is disabled and the audit-exemption statement stands instead. Slot + attachment are what make the frs102-full pack assemblable for audited clients.</w:t>
      </w:r>
    </w:p>
    <w:p>
      <w:pPr>
        <w:pStyle w:val="ListBullet"/>
      </w:pPr>
      <w:r>
        <w:t>Compliance statements — two different statements, both required (confirmed against the licensed text in v7.4): (1) on the statement of financial position, prominently above the directors' signatures, a statement that the accounts are prepared in accordance with the provisions applicable to companies subject to the small companies regime (FRS 102 1A.6A; Ireland: s.324(4A) Companies Act 2014); (2) in note N1, a statement of compliance with Section 1A (1AD.3; s.291(7)).</w:t>
      </w:r>
    </w:p>
    <w:p>
      <w:pPr>
        <w:pStyle w:val="Heading2"/>
      </w:pPr>
      <w:r>
        <w:rPr>
          <w:color w:val="1F6F3B"/>
        </w:rPr>
        <w:t>4.6 Cross-period machinery</w:t>
      </w:r>
    </w:p>
    <w:p>
      <w:pPr>
        <w:pStyle w:val="ListBullet"/>
      </w:pPr>
      <w:r>
        <w:t>Draft versions: LOCKED read-only; FINAL at zero open CRITICAL; pack_version pinned at creation (NULL-check, effective_from check, re-pin raises; Week-1 migration adds NOT NULL/unique as the DB-level concurrency guard)</w:t>
      </w:r>
    </w:p>
    <w:p>
      <w:pPr>
        <w:pStyle w:val="ListBullet"/>
      </w:pPr>
      <w:r>
        <w:t>Roll forward: mappings (exact → 100% auto-confirm), comparatives, styles, flagged note overrides</w:t>
      </w:r>
    </w:p>
    <w:p>
      <w:pPr>
        <w:pStyle w:val="ListBullet"/>
      </w:pPr>
      <w:r>
        <w:t>Rounding: flag + URL-encoded CoA deep-link; audited system adjustment</w:t>
      </w:r>
    </w:p>
    <w:p>
      <w:pPr>
        <w:pStyle w:val="Heading2"/>
      </w:pPr>
      <w:r>
        <w:rPr>
          <w:color w:val="1F6F3B"/>
        </w:rPr>
        <w:t>4.7 Data model</w:t>
      </w:r>
    </w:p>
    <w:p>
      <w:r>
        <w:rPr>
          <w:b w:val="0"/>
          <w:i w:val="0"/>
        </w:rPr>
        <w:t>company_id FKs into the EXISTING Kastree schema: year_ends (prior_year_validated, pack_id, pack_version), trial_balance, general_ledger, fixed_assets, mappings, fs_line_items (xbrl_concept_id), fs_data (lineage incl. pack_version), prior_year_data, bank_reconciliation, reconciliation_results, adjustments, evidence_links, audit_trail, draft_versions, rounding_adjustments, note_overrides, report_styles, text_blocks, reclassifications, draft_attachments (draft_version_id, slot, file_ref, attached_by, attached_at). Money: Decimal(15,2); floats, bools, non-finite and overflow rejected at the money boundary and in TBLine.__post_init__. Trial balances are versioned: each upload is an immutable TB version, a draft records the TB version it was built from, and a re-import creates a new draft version. prior_year_data stores canonical-line balances; comparatives are rendered by the same builders (engine/statements.py prior_from_mapped). The client entity record (legal name, CRO number, registered office, directors, secretary, financial year, average employees) is captured once and feeds note N0, the directors' report and the approval page. Derived output (v7.5): statements, notes and check results are stored as ONE immutable JSONB snapshot per computation, keyed by sha256(inputs) + engine SHA + pack version, and recomputed on every change; this supersedes separate derived-money tables such as fs_data, fs_line_items and reconciliation_results as the store of record. Only CONFIRMED mappings reach aggregate(). Tenant-owned rows reference companies by composite foreign key (tenant_id, company_id).</w:t>
      </w:r>
    </w:p>
    <w:p>
      <w:pPr>
        <w:pStyle w:val="Heading2"/>
      </w:pPr>
      <w:r>
        <w:rPr>
          <w:color w:val="1F6F3B"/>
        </w:rPr>
        <w:t>4.8 Validation engine</w:t>
      </w:r>
    </w:p>
    <w:tbl>
      <w:tblPr>
        <w:tblStyle w:val="LightGrid-Accent6"/>
        <w:tblW w:type="auto" w:w="0"/>
        <w:tblLook w:firstColumn="1" w:firstRow="1" w:lastColumn="0" w:lastRow="0" w:noHBand="0" w:noVBand="1" w:val="04A0"/>
      </w:tblPr>
      <w:tblGrid>
        <w:gridCol w:w="4320"/>
        <w:gridCol w:w="4320"/>
      </w:tblGrid>
      <w:tr>
        <w:tc>
          <w:tcPr>
            <w:tcW w:type="dxa" w:w="4320"/>
          </w:tcPr>
          <w:p>
            <w:r>
              <w:rPr>
                <w:b/>
              </w:rPr>
              <w:t>Severity</w:t>
            </w:r>
          </w:p>
        </w:tc>
        <w:tc>
          <w:tcPr>
            <w:tcW w:type="dxa" w:w="4320"/>
          </w:tcPr>
          <w:p>
            <w:r>
              <w:rPr>
                <w:b/>
              </w:rPr>
              <w:t>Rule</w:t>
            </w:r>
          </w:p>
        </w:tc>
      </w:tr>
      <w:tr>
        <w:tc>
          <w:tcPr>
            <w:tcW w:type="dxa" w:w="4320"/>
          </w:tcPr>
          <w:p>
            <w:r>
              <w:t>CRITICAL</w:t>
            </w:r>
          </w:p>
        </w:tc>
        <w:tc>
          <w:tcPr>
            <w:tcW w:type="dxa" w:w="4320"/>
          </w:tcPr>
          <w:p>
            <w:r>
              <w:t>Balance sheet balances EXACTLY (same comparison as articulates) — refuses silent pass</w:t>
            </w:r>
          </w:p>
        </w:tc>
      </w:tr>
      <w:tr>
        <w:tc>
          <w:tcPr>
            <w:tcW w:type="dxa" w:w="4320"/>
          </w:tcPr>
          <w:p>
            <w:r>
              <w:t>CRITICAL</w:t>
            </w:r>
          </w:p>
        </w:tc>
        <w:tc>
          <w:tcPr>
            <w:tcW w:type="dxa" w:w="4320"/>
          </w:tcPr>
          <w:p>
            <w:r>
              <w:t>Unanswered disclosure question on an applicable note or checklist item (V-DISC-001) — unanswered is never treated as "no"; blocks FINAL</w:t>
            </w:r>
          </w:p>
        </w:tc>
      </w:tr>
      <w:tr>
        <w:tc>
          <w:tcPr>
            <w:tcW w:type="dxa" w:w="4320"/>
          </w:tcPr>
          <w:p>
            <w:r>
              <w:t>CRITICAL</w:t>
            </w:r>
          </w:p>
        </w:tc>
        <w:tc>
          <w:tcPr>
            <w:tcW w:type="dxa" w:w="4320"/>
          </w:tcPr>
          <w:p>
            <w:r>
              <w:t>RE roll-forward (transition slot)</w:t>
            </w:r>
          </w:p>
        </w:tc>
      </w:tr>
      <w:tr>
        <w:tc>
          <w:tcPr>
            <w:tcW w:type="dxa" w:w="4320"/>
          </w:tcPr>
          <w:p>
            <w:r>
              <w:t>CRITICAL</w:t>
            </w:r>
          </w:p>
        </w:tc>
        <w:tc>
          <w:tcPr>
            <w:tcW w:type="dxa" w:w="4320"/>
          </w:tcPr>
          <w:p>
            <w:r>
              <w:t>TB debits = credits EXACTLY (no tolerance)</w:t>
            </w:r>
          </w:p>
        </w:tc>
      </w:tr>
      <w:tr>
        <w:tc>
          <w:tcPr>
            <w:tcW w:type="dxa" w:w="4320"/>
          </w:tcPr>
          <w:p>
            <w:r>
              <w:t>CRITICAL</w:t>
            </w:r>
          </w:p>
        </w:tc>
        <w:tc>
          <w:tcPr>
            <w:tcW w:type="dxa" w:w="4320"/>
          </w:tcPr>
          <w:p>
            <w:r>
              <w:t>Unmapped codes exist</w:t>
            </w:r>
          </w:p>
        </w:tc>
      </w:tr>
      <w:tr>
        <w:tc>
          <w:tcPr>
            <w:tcW w:type="dxa" w:w="4320"/>
          </w:tcPr>
          <w:p>
            <w:r>
              <w:t>CRITICAL</w:t>
            </w:r>
          </w:p>
        </w:tc>
        <w:tc>
          <w:tcPr>
            <w:tcW w:type="dxa" w:w="4320"/>
          </w:tcPr>
          <w:p>
            <w:r>
              <w:t>Dividends exceed accumulated realised profits (CA 2014 s.117 proxy: opening RE + profit for the year; exactly equal is lawful)</w:t>
            </w:r>
          </w:p>
        </w:tc>
      </w:tr>
      <w:tr>
        <w:tc>
          <w:tcPr>
            <w:tcW w:type="dxa" w:w="4320"/>
          </w:tcPr>
          <w:p>
            <w:r>
              <w:t>BLOCKED</w:t>
            </w:r>
          </w:p>
        </w:tc>
        <w:tc>
          <w:tcPr>
            <w:tcW w:type="dxa" w:w="4320"/>
          </w:tcPr>
          <w:p>
            <w:r>
              <w:t>Reconciliation before prior-year gate (V-GATE-001)</w:t>
            </w:r>
          </w:p>
        </w:tc>
      </w:tr>
      <w:tr>
        <w:tc>
          <w:tcPr>
            <w:tcW w:type="dxa" w:w="4320"/>
          </w:tcPr>
          <w:p>
            <w:r>
              <w:t>WARNING</w:t>
            </w:r>
          </w:p>
        </w:tc>
        <w:tc>
          <w:tcPr>
            <w:tcW w:type="dxa" w:w="4320"/>
          </w:tcPr>
          <w:p>
            <w:r>
              <w:t>Comparative missing for a mapped line (both directions)</w:t>
            </w:r>
          </w:p>
        </w:tc>
      </w:tr>
      <w:tr>
        <w:tc>
          <w:tcPr>
            <w:tcW w:type="dxa" w:w="4320"/>
          </w:tcPr>
          <w:p>
            <w:r>
              <w:t>WARNING</w:t>
            </w:r>
          </w:p>
        </w:tc>
        <w:tc>
          <w:tcPr>
            <w:tcW w:type="dxa" w:w="4320"/>
          </w:tcPr>
          <w:p>
            <w:r>
              <w:t>FA without depreciation (NBV, sign-correct)</w:t>
            </w:r>
          </w:p>
        </w:tc>
      </w:tr>
      <w:tr>
        <w:tc>
          <w:tcPr>
            <w:tcW w:type="dxa" w:w="4320"/>
          </w:tcPr>
          <w:p>
            <w:r>
              <w:t>WARNING</w:t>
            </w:r>
          </w:p>
        </w:tc>
        <w:tc>
          <w:tcPr>
            <w:tcW w:type="dxa" w:w="4320"/>
          </w:tcPr>
          <w:p>
            <w:r>
              <w:t>Negative expense</w:t>
            </w:r>
          </w:p>
        </w:tc>
      </w:tr>
      <w:tr>
        <w:tc>
          <w:tcPr>
            <w:tcW w:type="dxa" w:w="4320"/>
          </w:tcPr>
          <w:p>
            <w:r>
              <w:t>WARNING</w:t>
            </w:r>
          </w:p>
        </w:tc>
        <w:tc>
          <w:tcPr>
            <w:tcW w:type="dxa" w:w="4320"/>
          </w:tcPr>
          <w:p>
            <w:r>
              <w:t>Round number &gt; €10,000 divisible by €1,000</w:t>
            </w:r>
          </w:p>
        </w:tc>
      </w:tr>
      <w:tr>
        <w:tc>
          <w:tcPr>
            <w:tcW w:type="dxa" w:w="4320"/>
          </w:tcPr>
          <w:p>
            <w:r>
              <w:t>WARNING</w:t>
            </w:r>
          </w:p>
        </w:tc>
        <w:tc>
          <w:tcPr>
            <w:tcW w:type="dxa" w:w="4320"/>
          </w:tcPr>
          <w:p>
            <w:r>
              <w:t>Director transaction &gt; €5,000 (word-boundary)</w:t>
            </w:r>
          </w:p>
        </w:tc>
      </w:tr>
      <w:tr>
        <w:tc>
          <w:tcPr>
            <w:tcW w:type="dxa" w:w="4320"/>
          </w:tcPr>
          <w:p>
            <w:r>
              <w:t>WARNING</w:t>
            </w:r>
          </w:p>
        </w:tc>
        <w:tc>
          <w:tcPr>
            <w:tcW w:type="dxa" w:w="4320"/>
          </w:tcPr>
          <w:p>
            <w:r>
              <w:t>FA roll-forward difference</w:t>
            </w:r>
          </w:p>
        </w:tc>
      </w:tr>
      <w:tr>
        <w:tc>
          <w:tcPr>
            <w:tcW w:type="dxa" w:w="4320"/>
          </w:tcPr>
          <w:p>
            <w:r>
              <w:t>WARNING</w:t>
            </w:r>
          </w:p>
        </w:tc>
        <w:tc>
          <w:tcPr>
            <w:tcW w:type="dxa" w:w="4320"/>
          </w:tcPr>
          <w:p>
            <w:r>
              <w:t>Bank rec difference</w:t>
            </w:r>
          </w:p>
        </w:tc>
      </w:tr>
      <w:tr>
        <w:tc>
          <w:tcPr>
            <w:tcW w:type="dxa" w:w="4320"/>
          </w:tcPr>
          <w:p>
            <w:r>
              <w:t>CRITICAL</w:t>
            </w:r>
          </w:p>
        </w:tc>
        <w:tc>
          <w:tcPr>
            <w:tcW w:type="dxa" w:w="4320"/>
          </w:tcPr>
          <w:p>
            <w:r>
              <w:t>Pack rule or predicate could not be evaluated — fails closed: reported as CRITICAL, blocks FINAL; reconciliation continues with the other checks</w:t>
            </w:r>
          </w:p>
        </w:tc>
      </w:tr>
      <w:tr>
        <w:tc>
          <w:tcPr>
            <w:tcW w:type="dxa" w:w="4320"/>
          </w:tcPr>
          <w:p>
            <w:r>
              <w:t>INFO</w:t>
            </w:r>
          </w:p>
        </w:tc>
        <w:tc>
          <w:tcPr>
            <w:tcW w:type="dxa" w:w="4320"/>
          </w:tcPr>
          <w:p>
            <w:r>
              <w:t>Policy defaults; approval fields blank</w:t>
            </w:r>
          </w:p>
        </w:tc>
      </w:tr>
    </w:tbl>
    <w:p/>
    <w:p>
      <w:pPr>
        <w:pStyle w:val="Heading2"/>
      </w:pPr>
      <w:r>
        <w:rPr>
          <w:color w:val="1F6F3B"/>
        </w:rPr>
        <w:t>4.9 LLM boundaries &amp; execution</w:t>
      </w:r>
    </w:p>
    <w:p>
      <w:pPr>
        <w:pStyle w:val="ListBullet"/>
      </w:pPr>
      <w:r>
        <w:t>MVP: NO LLM calls (DECIDED v6.6). Prior-year PDF extraction and mapping tie-break are DEFERRED TO v1.1 — schema validation of extraction output and the OpenAI DPA / EU data-residency review are recorded as v1.1 preconditions. Policy wording is fixed from policies.py (qualified sign-off); prior-year entry is a manual form with a first-financial-period path; 50–79 mapping candidates go to the human review queue.</w:t>
      </w:r>
    </w:p>
    <w:p>
      <w:pPr>
        <w:pStyle w:val="ListBullet"/>
      </w:pPr>
      <w:r>
        <w:t>LLM execution infrastructure (Celery jobs, per-tenant cache) is built in v1.1 only if row-9 decisions are revisited; no client data reaches any API in the MVP. Stateless; hash-logged when built.</w:t>
      </w:r>
    </w:p>
    <w:p>
      <w:pPr>
        <w:pStyle w:val="ListBullet"/>
      </w:pPr>
      <w:r>
        <w:t>Error fallback → deterministic safe state; stateless; hash-logged</w:t>
      </w:r>
    </w:p>
    <w:p>
      <w:pPr>
        <w:pStyle w:val="Heading2"/>
      </w:pPr>
      <w:r>
        <w:rPr>
          <w:color w:val="1F6F3B"/>
        </w:rPr>
        <w:t>4.10 Decisions</w:t>
      </w:r>
    </w:p>
    <w:tbl>
      <w:tblPr>
        <w:tblStyle w:val="LightGrid-Accent6"/>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Decision</w:t>
            </w:r>
          </w:p>
        </w:tc>
        <w:tc>
          <w:tcPr>
            <w:tcW w:type="dxa" w:w="2880"/>
          </w:tcPr>
          <w:p>
            <w:r>
              <w:rPr>
                <w:b/>
              </w:rPr>
              <w:t>Status</w:t>
            </w:r>
          </w:p>
        </w:tc>
      </w:tr>
      <w:tr>
        <w:tc>
          <w:tcPr>
            <w:tcW w:type="dxa" w:w="2880"/>
          </w:tcPr>
          <w:p>
            <w:r>
              <w:t>Platform / pack model / versioning / billing</w:t>
            </w:r>
          </w:p>
        </w:tc>
        <w:tc>
          <w:tcPr>
            <w:tcW w:type="dxa" w:w="2880"/>
          </w:tcPr>
          <w:p>
            <w:r>
              <w:t>As §1–2; included in Kastree tiers; pinning guards + effective_from checks</w:t>
            </w:r>
          </w:p>
        </w:tc>
        <w:tc>
          <w:tcPr>
            <w:tcW w:type="dxa" w:w="2880"/>
          </w:tcPr>
          <w:p>
            <w:r>
              <w:t>DECIDED</w:t>
            </w:r>
          </w:p>
        </w:tc>
      </w:tr>
      <w:tr>
        <w:tc>
          <w:tcPr>
            <w:tcW w:type="dxa" w:w="2880"/>
          </w:tcPr>
          <w:p>
            <w:r>
              <w:t>Engine↔pack integration</w:t>
            </w:r>
          </w:p>
        </w:tc>
        <w:tc>
          <w:tcPr>
            <w:tcW w:type="dxa" w:w="2880"/>
          </w:tcPr>
          <w:p>
            <w:r>
              <w:t>Mapping-consumed statements; consumed-lines assertion; JSON rules; predicates hardened (length cap, string arithmetic guard); rule-evaluation failures fail closed as CRITICAL (since v6.1)</w:t>
            </w:r>
          </w:p>
        </w:tc>
        <w:tc>
          <w:tcPr>
            <w:tcW w:type="dxa" w:w="2880"/>
          </w:tcPr>
          <w:p>
            <w:r>
              <w:t>DECIDED (v6.0)</w:t>
            </w:r>
          </w:p>
        </w:tc>
      </w:tr>
      <w:tr>
        <w:tc>
          <w:tcPr>
            <w:tcW w:type="dxa" w:w="2880"/>
          </w:tcPr>
          <w:p>
            <w:r>
              <w:t>Independent review C1–C7</w:t>
            </w:r>
          </w:p>
        </w:tc>
        <w:tc>
          <w:tcPr>
            <w:tcW w:type="dxa" w:w="2880"/>
          </w:tcPr>
          <w:p>
            <w:r>
              <w:t>Lease liabilities in net assets/totals; one profit definition; separate intangible line; consumed-lines assertion; prior-year gate; CA 2014 s.117 dividend test; float rejection in rounding; predicate hardening + containment</w:t>
            </w:r>
          </w:p>
        </w:tc>
        <w:tc>
          <w:tcPr>
            <w:tcW w:type="dxa" w:w="2880"/>
          </w:tcPr>
          <w:p>
            <w:r>
              <w:t>CLOSED (v6.0 — each with a regression test; C3 and C7 completed beyond the supplied patch)</w:t>
            </w:r>
          </w:p>
        </w:tc>
      </w:tr>
      <w:tr>
        <w:tc>
          <w:tcPr>
            <w:tcW w:type="dxa" w:w="2880"/>
          </w:tcPr>
          <w:p>
            <w:r>
              <w:t>Filing authorities (Phase 2)</w:t>
            </w:r>
          </w:p>
        </w:tc>
        <w:tc>
          <w:tcPr>
            <w:tcW w:type="dxa" w:w="2880"/>
          </w:tcPr>
          <w:p>
            <w:r>
              <w:t>IE: Revenue Commissioners ROS + CRO; UK: HMRC + Companies House</w:t>
            </w:r>
          </w:p>
        </w:tc>
        <w:tc>
          <w:tcPr>
            <w:tcW w:type="dxa" w:w="2880"/>
          </w:tcPr>
          <w:p>
            <w:r>
              <w:t>DECIDED</w:t>
            </w:r>
          </w:p>
        </w:tc>
      </w:tr>
      <w:tr>
        <w:tc>
          <w:tcPr>
            <w:tcW w:type="dxa" w:w="2880"/>
          </w:tcPr>
          <w:p>
            <w:r>
              <w:t>Product-review decisions (v6.5)</w:t>
            </w:r>
          </w:p>
        </w:tc>
        <w:tc>
          <w:tcPr>
            <w:tcW w:type="dxa" w:w="2880"/>
          </w:tcPr>
          <w:p>
            <w:r>
              <w:t>MVP deliverable; LLM in MVP; canonical mapping implementation; repo namespace; A8/A12 scope; must-add gaps — listed in §10</w:t>
            </w:r>
          </w:p>
        </w:tc>
        <w:tc>
          <w:tcPr>
            <w:tcW w:type="dxa" w:w="2880"/>
          </w:tcPr>
          <w:p>
            <w:r>
              <w:t>SUPERSEDED — decided in v6.6 (next row)</w:t>
            </w:r>
          </w:p>
        </w:tc>
      </w:tr>
      <w:tr>
        <w:tc>
          <w:tcPr>
            <w:tcW w:type="dxa" w:w="2880"/>
          </w:tcPr>
          <w:p>
            <w:r>
              <w:t>Product decisions (§10 rows 8–12)</w:t>
            </w:r>
          </w:p>
        </w:tc>
        <w:tc>
          <w:tcPr>
            <w:tcW w:type="dxa" w:w="2880"/>
          </w:tcPr>
          <w:p>
            <w:r>
              <w:t>Row 8: members' accounts (income statement, small-company directors' report, approval + audit-exemption statements) — CRO abridged filing is a Phase-2 variant. Row 9: no LLM in MVP — manual prior-year entry + review queue; extraction and tie-break deferred to v1.1. Row 10: Product 1 owns mapping SUGGESTIONS (exclusions ported with tests); engine/mapping.aggregate() STAYS IN THE PRODUCTION STATEMENT PATH; contract test enforces canonical line names (BANK_OVERDRAFT, FA_INTANGIBLE_AMORT, …); namespace findraft/ inside Kastree. Row 11: A8 and A12 → v1.1. Row 12: all six gaps in MVP scope</w:t>
            </w:r>
          </w:p>
        </w:tc>
        <w:tc>
          <w:tcPr>
            <w:tcW w:type="dxa" w:w="2880"/>
          </w:tcPr>
          <w:p>
            <w:r>
              <w:t>DECIDED (v6.6)</w:t>
            </w:r>
          </w:p>
        </w:tc>
      </w:tr>
    </w:tbl>
    <w:p/>
    <w:p>
      <w:r>
        <w:br w:type="page"/>
      </w:r>
    </w:p>
    <w:p>
      <w:pPr>
        <w:pStyle w:val="Heading1"/>
      </w:pPr>
      <w:r>
        <w:rPr>
          <w:color w:val="1F6F3B"/>
        </w:rPr>
        <w:t>5. Cursor AI Project Rules (paste as .cursorrules at repo root)</w:t>
      </w:r>
    </w:p>
    <w:p>
      <w:r>
        <w:rPr>
          <w:b w:val="0"/>
          <w:i w:val="0"/>
        </w:rPr>
        <w:t>Exact contents of the rule sections of the delivered .cursorrules file (v7.5; identical rules ship as findraft.mdc with a header scoping them to findraft/**). The file additionally opens with three # header comment lines, not reproduced here.</w:t>
      </w:r>
    </w:p>
    <w:p>
      <w:pPr>
        <w:pStyle w:val="Heading3"/>
      </w:pPr>
      <w:r>
        <w:rPr>
          <w:color w:val="1F6F3B"/>
        </w:rPr>
        <w:t>1. PROJECT IDENTITY</w:t>
      </w:r>
    </w:p>
    <w:p>
      <w:r>
        <w:rPr>
          <w:b w:val="0"/>
          <w:i w:val="0"/>
        </w:rPr>
        <w:t>You are building FinDraft: trial balance + source documents in → compliant FRS 102 Section 1A members'-accounts drafts out (statement of financial position, income statement, small-company directors' report, notes from 10 note templates N0–N9, approval and audit-exemption statements), for Irish accounting practices, UK pack as fast-follow. CORE PRINCIPLE: deterministic engine for numbers. The LLM never touches a number, mapping, or reconciliation result.</w:t>
      </w:r>
    </w:p>
    <w:p>
      <w:pPr>
        <w:pStyle w:val="Heading3"/>
      </w:pPr>
      <w:r>
        <w:rPr>
          <w:color w:val="1F6F3B"/>
        </w:rPr>
        <w:t>2. STACK (fixed — do not substitute)</w:t>
      </w:r>
    </w:p>
    <w:p>
      <w:r>
        <w:rPr>
          <w:b w:val="0"/>
          <w:i w:val="0"/>
        </w:rPr>
        <w:t>Backend: FastAPI (Python 3.11+, async SQLAlchemy 2.0, Pydantic v2) · PostgreSQL 15+ · Celery + Redis · object storage: MinIO in local development, AWS S3 (eu-west-1) in production · React 18 + TypeScript + Tailwind + Vite · TanStack React Query for server state only; local UI state uses useState/useContext — never Redux/Zustand/SWR · WeasyPrint (Jinja2 HTML) for PDF · python-docx for Word export · OpenAI API (uses listed in §8 only) · Clerk JWT. Never introduce a second backend framework, ORM, state manager, or meta-framework.</w:t>
      </w:r>
    </w:p>
    <w:p>
      <w:pPr>
        <w:pStyle w:val="Heading3"/>
      </w:pPr>
      <w:r>
        <w:rPr>
          <w:color w:val="1F6F3B"/>
        </w:rPr>
        <w:t>3. ARCHITECTURE RULES</w:t>
      </w:r>
    </w:p>
    <w:p>
      <w:r>
        <w:rPr>
          <w:b w:val="0"/>
          <w:i w:val="0"/>
        </w:rPr>
        <w:t>Directory roles: app layer (FastAPI routers+services) · engine/ (pure Python: mapping, reconciliation, statement generation, rounding, validation — NO DB or HTTP imports) · content/&lt;pack&gt;/ (pack data) · web/ (React) · tests/. All of these live under findraft/ inside the Kastree repo (DECIDED v6.6) — do not create other top-level directories.</w:t>
        <w:br/>
        <w:t>REUSE RULE: before writing a new function, check whether an equivalent already exists in Product 1's codebase and extend it. Never duplicate auth, classification, or file-handling logic. Mapping DECIDED (v6.6): Product 1 OWNS mapping SUGGESTIONS (keyword scoring with the FinDraft exclusions ported and tested there). engine/mapping.aggregate() STAYS IN THE PRODUCTION STATEMENT PATH — it reclassifies overdrawn cash accounts before totalling so accounts never net against each other; do not route statements around it. A contract test enforces that Product 1's output uses the engine's canonical line names (BANK_OVERDRAFT, FA_INTANGIBLE_AMORT, …). Namespace DECIDED (v6.6): FinDraft lives at findraft/ inside the Kastree repo — never a parallel root tree. Never merge, replace, or duplicate either mapping module without instruction.</w:t>
        <w:br/>
        <w:t>engine/ functions are pure over plain dataclasses; services inject data. Money: Decimal(15,2), 0.01 tolerance, no floats. Every figure materialised with lineage — no compute-at-render money.</w:t>
        <w:br/>
        <w:t>Target: standard-specific text and structure live in content/&lt;pack&gt;/&lt;version&gt;/ so a new standard needs zero engine changes. Accepted exception until the pack-schema decision: engine/statements.py owns statement labels, line order and the 1A.6A balance-sheet compliance statement (kept identical to the pack's statements.py by test); content/*/statements.py and policies.py are not read by the engine. Do not migrate this unless asked. engine/lines.py is the ONE registry of canonical lines and statement groups: every sum (statements, notes context, review rules, mapping exclusions) iterates it — never hand-type a list of lines anywhere else.</w:t>
      </w:r>
    </w:p>
    <w:p>
      <w:pPr>
        <w:pStyle w:val="Heading3"/>
      </w:pPr>
      <w:r>
        <w:rPr>
          <w:color w:val="1F6F3B"/>
        </w:rPr>
        <w:t>4. HARD GATES &amp; INVARIANTS (tests must enforce)</w:t>
      </w:r>
    </w:p>
    <w:p>
      <w:r>
        <w:rPr>
          <w:b w:val="0"/>
          <w:i w:val="0"/>
        </w:rPr>
        <w:t>prior_year_validated=true before reconciliation (else BLOCKED) · TB debits=credits EXACTLY · BS balances EXACTLY (same comparison as articulates; rounding belongs only to presentation) · FA roll-forward ties · RE roll-forward ties · comparatives == validated prior year (prior year stored as canonical-line balances; comparatives rendered by the same builders via prior_from_mapped) · bank rec vs manual input · mapping confidence: 100 = auto-confirm (reachable ONLY via a human-confirmed prior-year exact match); heuristics are capped at 79 and prior-code matches score 60, so 80–99 never occurs today — do not build UI for it; 50–79 = active choice; &lt;50 = review queue · confirmed mappings LOCKED (no LLM/background mutation) · LLM output never parsed into a number field · a review rule that cannot be evaluated, or whose input is missing, reports CRITICAL and blocks FINAL · disclosure answers are tri-state (yes / no / unanswered): an unanswered fact is never treated as "no" — a note needing it is included as pending and V-DISC-001 (CRITICAL) blocks FINAL until every applicable question is answered · facts derivable from the TB (e.g. director's loans, via aggregate() lineage) are derived, never asked.</w:t>
        <w:br/>
        <w:t>ERROR FALLBACK: if any LLM call fails or times out, fall through to the safe deterministic state — mapping goes to needs-review, extraction goes to manual entry — never silently guess, retry at most once, never block the request thread.</w:t>
      </w:r>
    </w:p>
    <w:p>
      <w:pPr>
        <w:pStyle w:val="Heading3"/>
      </w:pPr>
      <w:r>
        <w:rPr>
          <w:color w:val="1F6F3B"/>
        </w:rPr>
        <w:t>5. MVP BEHAVIOURS</w:t>
      </w:r>
    </w:p>
    <w:p>
      <w:r>
        <w:rPr>
          <w:b w:val="0"/>
          <w:i w:val="0"/>
        </w:rPr>
        <w:t>IN MVP: (1) rounding flags with chart-of-accounts deep-link (engine/rounding.py) · (2) draft version locking · (3) report options &amp; styles · (4) in-place note editing + text blocks.</w:t>
        <w:br/>
        <w:t>NOT in MVP (DECIDED v6.6): roll forward (A12) and cash-flow working column (A8) → v1.1; LLM features → v1.1; firm→client report-option inheritance → Week 14 fast-follow. Build these only when instructed.</w:t>
        <w:br/>
        <w:t>DEFERRED to v1.1 (do not build): right-click context menu, anchored cell comments with Resolve workflow, cross-client disclosure import/export.</w:t>
      </w:r>
    </w:p>
    <w:p>
      <w:pPr>
        <w:pStyle w:val="Heading3"/>
      </w:pPr>
      <w:r>
        <w:rPr>
          <w:color w:val="1F6F3B"/>
        </w:rPr>
        <w:t>6. CONTENT PACK CONTRACT (content/frs102-1a-ie/2024.09/*)</w:t>
      </w:r>
    </w:p>
    <w:p>
      <w:r>
        <w:rPr>
          <w:b w:val="0"/>
          <w:i w:val="0"/>
        </w:rPr>
        <w:t>Note template JSON (code = file stem): {title, bodyTemplate, sourceRef, includeWhen, jurisdiction, needsInput, tableSpec?} plus note-specific extras. Note 2 builds the FA movement grid. tableSpec.lines_from lists canonical line names only (each must be a presented line); every includeWhen, including nested ones, is validated at load. Two DIFFERENT compliance statements are required — never merge or remove either: the 1A.6A statement on the SoFP above the directors' signatures (Ireland: s.324(4A) CA 2014), and note N1's statement of compliance with Section 1A (1AD.3; s.291(7)). policies.py: 12 toggleable blocks {id, title, appliesWhen, body}; wording is fixed and subject to qualified sign-off — never generate or rewrite it. disclosure-checklist.json: Appendix D items 1AD.1–1AD.55 {id, topic, note, statuteRef, statuteRefStatus, includeWhen?, evidence?}; tests/test_checklist_integrity.py enforces that every 'verified' item carries evidence whose quote contains its citation — never weaken that test or relabel an item to pass it. pack.json: {pack, standard, section, version, effective, effective_from, jurisdiction}; there is no thresholds block yet. UK pack mirrors with Appendix C (1AC) refs.</w:t>
      </w:r>
    </w:p>
    <w:p>
      <w:pPr>
        <w:pStyle w:val="Heading3"/>
      </w:pPr>
      <w:r>
        <w:rPr>
          <w:color w:val="1F6F3B"/>
        </w:rPr>
        <w:t>7. UI/UX RULES</w:t>
      </w:r>
    </w:p>
    <w:p>
      <w:r>
        <w:rPr>
          <w:b w:val="0"/>
          <w:i w:val="0"/>
        </w:rPr>
        <w:t>Review dashboard red/amber/green; every issue has Resolve → deep-link to the exact screen. Statement preview: click a figure → evidence drawer showing contributing TB lines. Rounding flags amber with chart-of-accounts link. Locked drafts show a create-new-version flow, never silent mutation. Loading skeletons; empty states with next action; optimistic UI only for non-financial edits.</w:t>
      </w:r>
    </w:p>
    <w:p>
      <w:pPr>
        <w:pStyle w:val="Heading3"/>
      </w:pPr>
      <w:r>
        <w:rPr>
          <w:color w:val="1F6F3B"/>
        </w:rPr>
        <w:t>8. LLM BOUNDARIES &amp; EXECUTION</w:t>
      </w:r>
    </w:p>
    <w:p>
      <w:r>
        <w:rPr>
          <w:b w:val="0"/>
          <w:i w:val="0"/>
        </w:rPr>
        <w:t>MVP uses NO LLM calls (DECIDED v6.6): prior-year figures come from a manual entry form (plus a 'first financial period' path with no comparatives), and 50–79 mapping candidates go to the human review queue. (a) prior-year PDF extraction and (b) mapping tie-break are DEFERRED TO v1.1 — when built, extraction output is schema-validated before display (untrusted input). Accounting-policy wording comes from policies.py, never from the LLM. v1.1 principle, stated honestly: no LLM-produced number reaches a statement without human confirmation, and extracted totals must cross-cast (e.g. net assets = equity) before a human sees them. Forbidden: everything else.</w:t>
        <w:br/>
        <w:t>EXECUTION: all LLM calls run as Celery background jobs, never in the request thread. Tie-break cache keyed by (tenant_id, normalised account-name pattern) — per practice, never shared across practices. Stateless calls, no training; prompt+output hash logged in audit_trail. No client data reaches any API before the OpenAI DPA and EU data-residency review are signed off (v1.1 precondition).</w:t>
      </w:r>
    </w:p>
    <w:p>
      <w:pPr>
        <w:pStyle w:val="Heading3"/>
      </w:pPr>
      <w:r>
        <w:rPr>
          <w:color w:val="1F6F3B"/>
        </w:rPr>
        <w:t>9. AUTH, MULTI-TENANCY &amp; SCHEMA</w:t>
      </w:r>
    </w:p>
    <w:p>
      <w:r>
        <w:rPr>
          <w:b w:val="0"/>
          <w:i w:val="0"/>
        </w:rPr>
        <w:t>Reuse Product 1's Clerk authentication and RLS-scoped multi-tenancy — no new auth system or tenancy model. New tables carry company_id foreign keys into the EXISTING clients/companies schema — never a parallel company structure. Lock, FINAL, adjustments and pack pinning are role-checked server-side, never by hiding UI.</w:t>
      </w:r>
    </w:p>
    <w:p>
      <w:pPr>
        <w:pStyle w:val="Heading3"/>
      </w:pPr>
      <w:r>
        <w:rPr>
          <w:color w:val="1F6F3B"/>
        </w:rPr>
        <w:t>10. QUALITY BAR</w:t>
      </w:r>
    </w:p>
    <w:p>
      <w:r>
        <w:rPr>
          <w:b w:val="0"/>
          <w:i w:val="0"/>
        </w:rPr>
        <w:t>ruff + mypy --strict everywhere. The engine's existing typing backlog (94 mypy --strict errors at v7.5) is fixed as a Week 1 task, behind the full test suite with no behaviour change; until then fix only lines you change for a tested reason. Name tests by behaviour, never by release. Tests: golden-file renders; one pass+fail test per validation rule; the full suite (python -m unittest discover -s tests -t .) must stay green. Playwright happy path green. One logical change per Alembic migration; never edit shipped migrations.</w:t>
      </w:r>
    </w:p>
    <w:p>
      <w:pPr>
        <w:pStyle w:val="Heading3"/>
      </w:pPr>
      <w:r>
        <w:rPr>
          <w:color w:val="1F6F3B"/>
        </w:rPr>
        <w:t>11. MVP GUARDRAILS (flag, don't build)</w:t>
      </w:r>
    </w:p>
    <w:p>
      <w:r>
        <w:rPr>
          <w:b w:val="0"/>
          <w:i w:val="0"/>
        </w:rPr>
        <w:t>iXBRL, accounting-software APIs, OCR, cash-flow STATEMENT (the directors' REPORT is IN SCOPE for the members'-accounts set), FRS 105/101, consolidations, anomaly ML, client emails, LLM features (v1.1). BUT keep xbrl_concept_id, pack architecture, includeWhen, lineage — Phase 2 depends on all four.</w:t>
      </w:r>
    </w:p>
    <w:p>
      <w:pPr>
        <w:pStyle w:val="Heading3"/>
      </w:pPr>
      <w:r>
        <w:rPr>
          <w:color w:val="1F6F3B"/>
        </w:rPr>
        <w:t>12. DEFINITION OF DONE (per feature)</w:t>
      </w:r>
    </w:p>
    <w:p>
      <w:r>
        <w:rPr>
          <w:b w:val="0"/>
          <w:i w:val="0"/>
        </w:rPr>
        <w:t>Migration → engine code + tests → router + Pydantic schema → React UI with states → audit entry → validation rules updated if money-affecting → disclosure checklist updated if a note changed → report-options defaults updated if a statement changed.</w:t>
      </w:r>
    </w:p>
    <w:p>
      <w:pPr>
        <w:pStyle w:val="Heading3"/>
      </w:pPr>
      <w:r>
        <w:rPr>
          <w:color w:val="1F6F3B"/>
        </w:rPr>
        <w:t>13. PACKS &amp; VERSION PINNING</w:t>
      </w:r>
    </w:p>
    <w:p>
      <w:r>
        <w:rPr>
          <w:b w:val="0"/>
          <w:i w:val="0"/>
        </w:rPr>
        <w:t>Two independent choices at client setup: JURISDICTION (IE | UK) and STANDARD (frs102-1a | frs102-full | frs105). Pack identity = &lt;standard&gt;-&lt;jurisdiction&gt;, versioned by pack.json "version" (e.g. frs102-1a-ie @ 2024.09). A new FRC edition = a NEW pack version in its own immutable directory content/&lt;pack&gt;/&lt;version&gt;/ (engine/pack.py pack_dir() resolves a pinned draft to exactly those files) — never edit a live pack in place. year_ends and draft_versions record pack_id + pack_version at creation and stay pinned; pinning refuses a period starting before the pack's effective_from. Packs govern presentation, formats, thresholds and disclosures; classification is not pack-specific.</w:t>
      </w:r>
    </w:p>
    <w:p>
      <w:pPr>
        <w:pStyle w:val="Heading3"/>
      </w:pPr>
      <w:r>
        <w:rPr>
          <w:color w:val="1F6F3B"/>
        </w:rPr>
        <w:t>14. CHANGE SAFETY</w:t>
      </w:r>
    </w:p>
    <w:p>
      <w:r>
        <w:rPr>
          <w:b w:val="0"/>
          <w:i w:val="0"/>
        </w:rPr>
        <w:t>engine/ and content/ are audited. Change them only to fix a bug demonstrated by a failing test you add first. Never reformat, rename, or "clean up" engine code.</w:t>
        <w:br/>
        <w:t>Never modify, skip, or delete an existing test to make a change pass. If a test blocks you, stop and explain why.</w:t>
        <w:br/>
        <w:t>If a request conflicts with these rules or the spec, stop and ask — do not guess.</w:t>
      </w:r>
    </w:p>
    <w:p>
      <w:pPr>
        <w:pStyle w:val="Heading3"/>
      </w:pPr>
      <w:r>
        <w:rPr>
          <w:color w:val="1F6F3B"/>
        </w:rPr>
        <w:t>15. DEPENDENCIES</w:t>
      </w:r>
    </w:p>
    <w:p>
      <w:r>
        <w:rPr>
          <w:b w:val="0"/>
          <w:i w:val="0"/>
        </w:rPr>
        <w:t>Do not add any package not already declared without asking first. Never invent package names or APIs; if unsure a function exists, search the codebase.</w:t>
        <w:br/>
        <w:t>No new infrastructure (queues, caches, databases, services) without an explicit request.</w:t>
      </w:r>
    </w:p>
    <w:p>
      <w:pPr>
        <w:pStyle w:val="Heading3"/>
      </w:pPr>
      <w:r>
        <w:rPr>
          <w:color w:val="1F6F3B"/>
        </w:rPr>
        <w:t>16. SCOPE DISCIPLINE</w:t>
      </w:r>
    </w:p>
    <w:p>
      <w:r>
        <w:rPr>
          <w:b w:val="0"/>
          <w:i w:val="0"/>
        </w:rPr>
        <w:t>Implement exactly what is asked. No speculative abstractions, base classes, plugin systems, or config options "for later".</w:t>
        <w:br/>
        <w:t>One feature per change; touch the fewest files possible and list every file you changed.</w:t>
      </w:r>
    </w:p>
    <w:p>
      <w:pPr>
        <w:pStyle w:val="Heading3"/>
      </w:pPr>
      <w:r>
        <w:rPr>
          <w:color w:val="1F6F3B"/>
        </w:rPr>
        <w:t>17. DATA &amp; TENANCY</w:t>
      </w:r>
    </w:p>
    <w:p>
      <w:r>
        <w:rPr>
          <w:b w:val="0"/>
          <w:i w:val="0"/>
        </w:rPr>
        <w:t>Every new table: tenant_id NOT NULL + an RLS policy + a test proving tenant A cannot read tenant B's rows. RLS (Week 1, the existential risk): the app connects as a role that does NOT own the tables and has NOBYPASSRLS; FORCE ROW LEVEL SECURITY on every table anyway; every policy is USING and WITH CHECK (tenant_id = current_setting('app.tenant_id', true)::uuid), which matches zero rows when the context is unset; the context is set in ONE place per transaction with set_config('app.tenant_id', …, true) (e.g. SQLAlchemy after_begin), from a ContextVar filled by auth from the VERIFIED Clerk organisation claim — never from a path or body parameter; workers use the same helper; the cross-tenant CI test runs under the production role, never a superuser.</w:t>
        <w:br/>
        <w:t>Tenant-owned rows reference companies by a composite foreign key (tenant_id, company_id) → companies(tenant_id, id), with UNIQUE(tenant_id, id) on companies, so a row can never pair one tenant's id with another tenant's company.</w:t>
        <w:br/>
        <w:t>asyncpg behind PgBouncer in transaction mode: connect_args statement_cache_size=0; size pools so (tasks × (pool_size + max_overflow)) stays below max_connections minus headroom. Cache Clerk JWKS, refreshing on an unknown kid. CORS: explicit allowlist of the Kastree frontend origin.</w:t>
        <w:br/>
        <w:t>Money is Decimal end-to-end: NUMERIC(15,2) in Postgres, strings in JSON APIs, never JavaScript number arithmetic on money.</w:t>
        <w:br/>
        <w:t>Celery tasks receive IDs only — never client data in the payload — and re-establish tenant context themselves.</w:t>
        <w:br/>
        <w:t>Each TB upload is a new immutable TB version; a draft records the TB version it was built from, and a re-import creates a new draft version — never mutates an existing draft.</w:t>
        <w:br/>
        <w:t>The client entity record (legal name, CRO number, registered office, directors, secretary, financial year, average employees) is captured once and feeds note N0, the directors' report and the approval page — never retyped per draft.</w:t>
        <w:br/>
        <w:t>Derived output is a snapshot, not tables: inputs stay relational and immutable (TB version, CONFIRMED mappings only, adjustments, entity record, disclosure answers, pack id + version); each computation's statements, notes and check results are ONE immutable JSONB document keyed by sha256(inputs) + engine SHA + pack version, recomputed on every change (the engine runs in milliseconds). Unconfirmed mapping suggestions never reach aggregate().</w:t>
        <w:br/>
        <w:t>Draft concurrency (Week 10): draft_versions.row_version with optimistic concurrency (zero rows updated → 409); SELECT … FOR UPDATE on the draft inside adjust, recompute and finalise; a database trigger refuses INSERT/UPDATE/DELETE on adjustments, note overrides, text blocks and mappings when the parent draft is LOCKED or FINAL; FINAL is one transaction that writes the snapshot, inputs_sha256, engine SHA and pack version, then flips the status — FINAL output is never recomputed. Upload, adjust and finalise require an Idempotency-Key.</w:t>
        <w:br/>
        <w:t>Rendering: PDF and DOCX render in a separate worker process with a memory cap and timeout, never inside an async handler; the API returns a job id. Reuse Kastree's Celery if it exists; otherwise a Postgres job table with SELECT … FOR UPDATE SKIP LOCKED — do not add Redis/Celery for this alone. Call the engine directly (pure CPU, milliseconds) — no async or thread-pool wrapper.</w:t>
        <w:br/>
        <w:t>Review rules always receive the draft's pinned pack: engine.pack.pack_dir(pack_id, version) / "review-rules.json" — there is no default.</w:t>
        <w:br/>
        <w:t>UPLOADS (Week 2 acceptance): cap file size; verify the REAL file type (never trust the extension); reject macro-enabled workbooks (.xlsm); guard against zip bombs (cap decompressed size); per-practice storage prefixes/keys; parse spreadsheets in the worker, never the API process (openpyxl read_only=True, hard row and column caps); escape formula-leading characters (= + - @) on import as well as export, since account names flow into PDFs, DOCX and CSVs — uploads are the main outside-data entry point.</w:t>
        <w:br/>
        <w:t>AUDIT TRAIL: append-only for real — REVOKE UPDATE, DELETE from the app role, plus a per-row prev_hash chain so tampering is detectable.</w:t>
        <w:br/>
        <w:t>RETENTION vs ERASURE (Week 12 acceptance): state the policy for statutory accounting-record retention periods vs GDPR erasure — which wins, and when; never ship a delete path that removes records the practice is legally required to keep.</w:t>
      </w:r>
    </w:p>
    <w:p>
      <w:pPr>
        <w:pStyle w:val="Heading1"/>
      </w:pPr>
      <w:r>
        <w:rPr>
          <w:color w:val="1F6F3B"/>
        </w:rPr>
        <w:t>6. FRS 102 Content Pack (content/frs102-1a-ie/2024.09/) — Delivered Files</w:t>
      </w:r>
    </w:p>
    <w:tbl>
      <w:tblPr>
        <w:tblStyle w:val="LightGrid-Accent6"/>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Contents</w:t>
            </w:r>
          </w:p>
        </w:tc>
      </w:tr>
      <w:tr>
        <w:tc>
          <w:tcPr>
            <w:tcW w:type="dxa" w:w="4320"/>
          </w:tcPr>
          <w:p>
            <w:r>
              <w:t>pack.json</w:t>
            </w:r>
          </w:p>
        </w:tc>
        <w:tc>
          <w:tcPr>
            <w:tcW w:type="dxa" w:w="4320"/>
          </w:tcPr>
          <w:p>
            <w:r>
              <w:t>Manifest: pack id, standard, section, VERSION + effective_from, jurisdiction — pinning anchor with effective-date guard; pack and version must match the directory path</w:t>
            </w:r>
          </w:p>
        </w:tc>
      </w:tr>
      <w:tr>
        <w:tc>
          <w:tcPr>
            <w:tcW w:type="dxa" w:w="4320"/>
          </w:tcPr>
          <w:p>
            <w:r>
              <w:t>disclosure-checklist.json</w:t>
            </w:r>
          </w:p>
        </w:tc>
        <w:tc>
          <w:tcPr>
            <w:tcW w:type="dxa" w:w="4320"/>
          </w:tcPr>
          <w:p>
            <w:r>
              <w:t>55 Appendix D items, every reference checked against the licensed FRS 102 (September 2024) text in v7.4: 53 carry the statutory citation printed in the licensed text, each with its PDF page and a quote containing that citation; 2 have no standalone citation in the text (1AD.1, the general minimum-disclosure rule; 1AD.41, the lead-in to 1AD.42–1AD.45). Evidence standard enforced by tests/test_checklist_integrity.py</w:t>
            </w:r>
          </w:p>
        </w:tc>
      </w:tr>
      <w:tr>
        <w:tc>
          <w:tcPr>
            <w:tcW w:type="dxa" w:w="4320"/>
          </w:tcPr>
          <w:p>
            <w:r>
              <w:t>notes/N0–N9</w:t>
            </w:r>
          </w:p>
        </w:tc>
        <w:tc>
          <w:tcPr>
            <w:tcW w:type="dxa" w:w="4320"/>
          </w:tcPr>
          <w:p>
            <w:r>
              <w:t>10 note templates; N1 carries the statement of compliance with Section 1A (1AD.3) — the separate 1A.6A statement appears on the balance sheet; N8 Employees always included (CA 2014 s.317); N9 all six commitment triggers; N3/N4 tables list canonical lines only (N4 shows corporation tax, VAT and PAYE/PRSI as taxation and social security); every includeWhen, including nested ones, is validated at load</w:t>
            </w:r>
          </w:p>
        </w:tc>
      </w:tr>
      <w:tr>
        <w:tc>
          <w:tcPr>
            <w:tcW w:type="dxa" w:w="4320"/>
          </w:tcPr>
          <w:p>
            <w:r>
              <w:t>policies.py</w:t>
            </w:r>
          </w:p>
        </w:tc>
        <w:tc>
          <w:tcPr>
            <w:tcW w:type="dxa" w:w="4320"/>
          </w:tcPr>
          <w:p>
            <w:r>
              <w:t>12 blocks, September 2024 wording. Not period-aware (no PERIOD_START parameterisation exists) and not yet read by the engine — see §14 limitation (2). TAXATION corrected in v7.4 to FRS 102 29.6 (all timing differences), 29.7 (assets only when probable), 29.12 and 29.17 (not discounted)</w:t>
            </w:r>
          </w:p>
        </w:tc>
      </w:tr>
      <w:tr>
        <w:tc>
          <w:tcPr>
            <w:tcW w:type="dxa" w:w="4320"/>
          </w:tcPr>
          <w:p>
            <w:r>
              <w:t>mapping-defaults.py</w:t>
            </w:r>
          </w:p>
        </w:tc>
        <w:tc>
          <w:tcPr>
            <w:tcW w:type="dxa" w:w="4320"/>
          </w:tcPr>
          <w:p>
            <w:r>
              <w:t>Word-boundary dictionary (an account named “overdraft” maps to LOANS_LT1Y); P&amp;L-wording/director/loan exclusions; heuristics capped. Separately, the engine reclassifies any overdrawn CASH account to BANK_OVERDRAFT per account</w:t>
            </w:r>
          </w:p>
        </w:tc>
      </w:tr>
      <w:tr>
        <w:tc>
          <w:tcPr>
            <w:tcW w:type="dxa" w:w="4320"/>
          </w:tcPr>
          <w:p>
            <w:r>
              <w:t>statements.py</w:t>
            </w:r>
          </w:p>
        </w:tc>
        <w:tc>
          <w:tcPr>
            <w:tcW w:type="dxa" w:w="4320"/>
          </w:tcPr>
          <w:p>
            <w:r>
              <w:t>Pack-side formats: Sch 3A Pt II order incl. separate intangibles and stocks (no ROU/lease lines yet), and SOFP_COMPLIANCE_STATEMENT (1A.6A; s.324(4A)), kept identical to the engine's by test. Layouts not yet read by the engine — the engine's own layout is authoritative until the layout-into-pack refactor (§14 limitation 2)</w:t>
            </w:r>
          </w:p>
        </w:tc>
      </w:tr>
      <w:tr>
        <w:tc>
          <w:tcPr>
            <w:tcW w:type="dxa" w:w="4320"/>
          </w:tcPr>
          <w:p>
            <w:r>
              <w:t>review-rules.json</w:t>
            </w:r>
          </w:p>
        </w:tc>
        <w:tc>
          <w:tcPr>
            <w:tcW w:type="dxa" w:w="4320"/>
          </w:tcPr>
          <w:p>
            <w:r>
              <w:t>5 rules as JSON data, evaluated by the sandboxed predicate engine (never executed as code); R-DIV-001 tests opening RE + profit (s.117 proxy)</w:t>
            </w:r>
          </w:p>
        </w:tc>
      </w:tr>
      <w:tr>
        <w:tc>
          <w:tcPr>
            <w:tcW w:type="dxa" w:w="4320"/>
          </w:tcPr>
          <w:p>
            <w:r>
              <w:t>test_pack_completeness.py</w:t>
            </w:r>
          </w:p>
        </w:tc>
        <w:tc>
          <w:tcPr>
            <w:tcW w:type="dxa" w:w="4320"/>
          </w:tcPr>
          <w:p>
            <w:r>
              <w:t>55-item coverage — wired into the main suite; pytest optional</w:t>
            </w:r>
          </w:p>
        </w:tc>
      </w:tr>
    </w:tbl>
    <w:p/>
    <w:p>
      <w:r>
        <w:br w:type="page"/>
      </w:r>
    </w:p>
    <w:p>
      <w:pPr>
        <w:pStyle w:val="Heading1"/>
      </w:pPr>
      <w:r>
        <w:rPr>
          <w:color w:val="1F6F3B"/>
        </w:rPr>
        <w:t>7. Golden-File Test Fixtures (verified)</w:t>
      </w:r>
    </w:p>
    <w:p>
      <w:r>
        <w:rPr>
          <w:b w:val="0"/>
          <w:i w:val="0"/>
        </w:rPr>
        <w:t>Client: Demo Engineering Limited, Ireland. PERIOD: 1 Jan 2026 – 31 Dec 2026 (first Periodic-Review-2024 period). Prior-year (2025) validated and internally articulated.</w:t>
      </w:r>
    </w:p>
    <w:p>
      <w:pPr>
        <w:pStyle w:val="Heading2"/>
      </w:pPr>
      <w:r>
        <w:rPr>
          <w:color w:val="1F6F3B"/>
        </w:rPr>
        <w:t>7.1 Trial balance as at 31 December 2026</w:t>
      </w:r>
    </w:p>
    <w:tbl>
      <w:tblPr>
        <w:tblStyle w:val="LightGrid-Accent6"/>
        <w:tblW w:type="auto" w:w="0"/>
        <w:tblLook w:firstColumn="1" w:firstRow="1" w:lastColumn="0" w:lastRow="0" w:noHBand="0" w:noVBand="1" w:val="04A0"/>
      </w:tblPr>
      <w:tblGrid>
        <w:gridCol w:w="2160"/>
        <w:gridCol w:w="2160"/>
        <w:gridCol w:w="2160"/>
        <w:gridCol w:w="2160"/>
      </w:tblGrid>
      <w:tr>
        <w:tc>
          <w:tcPr>
            <w:tcW w:type="dxa" w:w="2160"/>
          </w:tcPr>
          <w:p>
            <w:r>
              <w:rPr>
                <w:b/>
              </w:rPr>
              <w:t>Code</w:t>
            </w:r>
          </w:p>
        </w:tc>
        <w:tc>
          <w:tcPr>
            <w:tcW w:type="dxa" w:w="2160"/>
          </w:tcPr>
          <w:p>
            <w:r>
              <w:rPr>
                <w:b/>
              </w:rPr>
              <w:t>Account</w:t>
            </w:r>
          </w:p>
        </w:tc>
        <w:tc>
          <w:tcPr>
            <w:tcW w:type="dxa" w:w="2160"/>
          </w:tcPr>
          <w:p>
            <w:r>
              <w:rPr>
                <w:b/>
              </w:rPr>
              <w:t>Debit €</w:t>
            </w:r>
          </w:p>
        </w:tc>
        <w:tc>
          <w:tcPr>
            <w:tcW w:type="dxa" w:w="2160"/>
          </w:tcPr>
          <w:p>
            <w:r>
              <w:rPr>
                <w:b/>
              </w:rPr>
              <w:t>Credit €</w:t>
            </w:r>
          </w:p>
        </w:tc>
      </w:tr>
      <w:tr>
        <w:tc>
          <w:tcPr>
            <w:tcW w:type="dxa" w:w="2160"/>
          </w:tcPr>
          <w:p>
            <w:r>
              <w:t>1500</w:t>
            </w:r>
          </w:p>
        </w:tc>
        <w:tc>
          <w:tcPr>
            <w:tcW w:type="dxa" w:w="2160"/>
          </w:tcPr>
          <w:p>
            <w:r>
              <w:t>Plant &amp; machinery — cost</w:t>
            </w:r>
          </w:p>
        </w:tc>
        <w:tc>
          <w:tcPr>
            <w:tcW w:type="dxa" w:w="2160"/>
          </w:tcPr>
          <w:p>
            <w:r>
              <w:t>150,000</w:t>
            </w:r>
          </w:p>
        </w:tc>
        <w:tc>
          <w:tcPr>
            <w:tcW w:type="dxa" w:w="2160"/>
          </w:tcPr>
          <w:p>
            <w:r>
              <w:t>—</w:t>
            </w:r>
          </w:p>
        </w:tc>
      </w:tr>
      <w:tr>
        <w:tc>
          <w:tcPr>
            <w:tcW w:type="dxa" w:w="2160"/>
          </w:tcPr>
          <w:p>
            <w:r>
              <w:t>1501</w:t>
            </w:r>
          </w:p>
        </w:tc>
        <w:tc>
          <w:tcPr>
            <w:tcW w:type="dxa" w:w="2160"/>
          </w:tcPr>
          <w:p>
            <w:r>
              <w:t>Motor vehicles — cost</w:t>
            </w:r>
          </w:p>
        </w:tc>
        <w:tc>
          <w:tcPr>
            <w:tcW w:type="dxa" w:w="2160"/>
          </w:tcPr>
          <w:p>
            <w:r>
              <w:t>60,000</w:t>
            </w:r>
          </w:p>
        </w:tc>
        <w:tc>
          <w:tcPr>
            <w:tcW w:type="dxa" w:w="2160"/>
          </w:tcPr>
          <w:p>
            <w:r>
              <w:t>—</w:t>
            </w:r>
          </w:p>
        </w:tc>
      </w:tr>
      <w:tr>
        <w:tc>
          <w:tcPr>
            <w:tcW w:type="dxa" w:w="2160"/>
          </w:tcPr>
          <w:p>
            <w:r>
              <w:t>1505</w:t>
            </w:r>
          </w:p>
        </w:tc>
        <w:tc>
          <w:tcPr>
            <w:tcW w:type="dxa" w:w="2160"/>
          </w:tcPr>
          <w:p>
            <w:r>
              <w:t>Accumulated depreciation — plant</w:t>
            </w:r>
          </w:p>
        </w:tc>
        <w:tc>
          <w:tcPr>
            <w:tcW w:type="dxa" w:w="2160"/>
          </w:tcPr>
          <w:p>
            <w:r>
              <w:t>—</w:t>
            </w:r>
          </w:p>
        </w:tc>
        <w:tc>
          <w:tcPr>
            <w:tcW w:type="dxa" w:w="2160"/>
          </w:tcPr>
          <w:p>
            <w:r>
              <w:t>52,000</w:t>
            </w:r>
          </w:p>
        </w:tc>
      </w:tr>
      <w:tr>
        <w:tc>
          <w:tcPr>
            <w:tcW w:type="dxa" w:w="2160"/>
          </w:tcPr>
          <w:p>
            <w:r>
              <w:t>1506</w:t>
            </w:r>
          </w:p>
        </w:tc>
        <w:tc>
          <w:tcPr>
            <w:tcW w:type="dxa" w:w="2160"/>
          </w:tcPr>
          <w:p>
            <w:r>
              <w:t>Accumulated depreciation — motor</w:t>
            </w:r>
          </w:p>
        </w:tc>
        <w:tc>
          <w:tcPr>
            <w:tcW w:type="dxa" w:w="2160"/>
          </w:tcPr>
          <w:p>
            <w:r>
              <w:t>—</w:t>
            </w:r>
          </w:p>
        </w:tc>
        <w:tc>
          <w:tcPr>
            <w:tcW w:type="dxa" w:w="2160"/>
          </w:tcPr>
          <w:p>
            <w:r>
              <w:t>24,000</w:t>
            </w:r>
          </w:p>
        </w:tc>
      </w:tr>
      <w:tr>
        <w:tc>
          <w:tcPr>
            <w:tcW w:type="dxa" w:w="2160"/>
          </w:tcPr>
          <w:p>
            <w:r>
              <w:t>2100</w:t>
            </w:r>
          </w:p>
        </w:tc>
        <w:tc>
          <w:tcPr>
            <w:tcW w:type="dxa" w:w="2160"/>
          </w:tcPr>
          <w:p>
            <w:r>
              <w:t>Trade debtors</w:t>
            </w:r>
          </w:p>
        </w:tc>
        <w:tc>
          <w:tcPr>
            <w:tcW w:type="dxa" w:w="2160"/>
          </w:tcPr>
          <w:p>
            <w:r>
              <w:t>245,800</w:t>
            </w:r>
          </w:p>
        </w:tc>
        <w:tc>
          <w:tcPr>
            <w:tcW w:type="dxa" w:w="2160"/>
          </w:tcPr>
          <w:p>
            <w:r>
              <w:t>—</w:t>
            </w:r>
          </w:p>
        </w:tc>
      </w:tr>
      <w:tr>
        <w:tc>
          <w:tcPr>
            <w:tcW w:type="dxa" w:w="2160"/>
          </w:tcPr>
          <w:p>
            <w:r>
              <w:t>2110</w:t>
            </w:r>
          </w:p>
        </w:tc>
        <w:tc>
          <w:tcPr>
            <w:tcW w:type="dxa" w:w="2160"/>
          </w:tcPr>
          <w:p>
            <w:r>
              <w:t>Other debtors</w:t>
            </w:r>
          </w:p>
        </w:tc>
        <w:tc>
          <w:tcPr>
            <w:tcW w:type="dxa" w:w="2160"/>
          </w:tcPr>
          <w:p>
            <w:r>
              <w:t>15,400</w:t>
            </w:r>
          </w:p>
        </w:tc>
        <w:tc>
          <w:tcPr>
            <w:tcW w:type="dxa" w:w="2160"/>
          </w:tcPr>
          <w:p>
            <w:r>
              <w:t>—</w:t>
            </w:r>
          </w:p>
        </w:tc>
      </w:tr>
      <w:tr>
        <w:tc>
          <w:tcPr>
            <w:tcW w:type="dxa" w:w="2160"/>
          </w:tcPr>
          <w:p>
            <w:r>
              <w:t>2120</w:t>
            </w:r>
          </w:p>
        </w:tc>
        <w:tc>
          <w:tcPr>
            <w:tcW w:type="dxa" w:w="2160"/>
          </w:tcPr>
          <w:p>
            <w:r>
              <w:t>Prepayments</w:t>
            </w:r>
          </w:p>
        </w:tc>
        <w:tc>
          <w:tcPr>
            <w:tcW w:type="dxa" w:w="2160"/>
          </w:tcPr>
          <w:p>
            <w:r>
              <w:t>6,200</w:t>
            </w:r>
          </w:p>
        </w:tc>
        <w:tc>
          <w:tcPr>
            <w:tcW w:type="dxa" w:w="2160"/>
          </w:tcPr>
          <w:p>
            <w:r>
              <w:t>—</w:t>
            </w:r>
          </w:p>
        </w:tc>
      </w:tr>
      <w:tr>
        <w:tc>
          <w:tcPr>
            <w:tcW w:type="dxa" w:w="2160"/>
          </w:tcPr>
          <w:p>
            <w:r>
              <w:t>2130</w:t>
            </w:r>
          </w:p>
        </w:tc>
        <w:tc>
          <w:tcPr>
            <w:tcW w:type="dxa" w:w="2160"/>
          </w:tcPr>
          <w:p>
            <w:r>
              <w:t>Bank current account</w:t>
            </w:r>
          </w:p>
        </w:tc>
        <w:tc>
          <w:tcPr>
            <w:tcW w:type="dxa" w:w="2160"/>
          </w:tcPr>
          <w:p>
            <w:r>
              <w:t>284,912</w:t>
            </w:r>
          </w:p>
        </w:tc>
        <w:tc>
          <w:tcPr>
            <w:tcW w:type="dxa" w:w="2160"/>
          </w:tcPr>
          <w:p>
            <w:r>
              <w:t>—</w:t>
            </w:r>
          </w:p>
        </w:tc>
      </w:tr>
      <w:tr>
        <w:tc>
          <w:tcPr>
            <w:tcW w:type="dxa" w:w="2160"/>
          </w:tcPr>
          <w:p>
            <w:r>
              <w:t>2200</w:t>
            </w:r>
          </w:p>
        </w:tc>
        <w:tc>
          <w:tcPr>
            <w:tcW w:type="dxa" w:w="2160"/>
          </w:tcPr>
          <w:p>
            <w:r>
              <w:t>Trade creditors</w:t>
            </w:r>
          </w:p>
        </w:tc>
        <w:tc>
          <w:tcPr>
            <w:tcW w:type="dxa" w:w="2160"/>
          </w:tcPr>
          <w:p>
            <w:r>
              <w:t>—</w:t>
            </w:r>
          </w:p>
        </w:tc>
        <w:tc>
          <w:tcPr>
            <w:tcW w:type="dxa" w:w="2160"/>
          </w:tcPr>
          <w:p>
            <w:r>
              <w:t>67,200</w:t>
            </w:r>
          </w:p>
        </w:tc>
      </w:tr>
      <w:tr>
        <w:tc>
          <w:tcPr>
            <w:tcW w:type="dxa" w:w="2160"/>
          </w:tcPr>
          <w:p>
            <w:r>
              <w:t>2210</w:t>
            </w:r>
          </w:p>
        </w:tc>
        <w:tc>
          <w:tcPr>
            <w:tcW w:type="dxa" w:w="2160"/>
          </w:tcPr>
          <w:p>
            <w:r>
              <w:t>Other creditors</w:t>
            </w:r>
          </w:p>
        </w:tc>
        <w:tc>
          <w:tcPr>
            <w:tcW w:type="dxa" w:w="2160"/>
          </w:tcPr>
          <w:p>
            <w:r>
              <w:t>—</w:t>
            </w:r>
          </w:p>
        </w:tc>
        <w:tc>
          <w:tcPr>
            <w:tcW w:type="dxa" w:w="2160"/>
          </w:tcPr>
          <w:p>
            <w:r>
              <w:t>8,400</w:t>
            </w:r>
          </w:p>
        </w:tc>
      </w:tr>
      <w:tr>
        <w:tc>
          <w:tcPr>
            <w:tcW w:type="dxa" w:w="2160"/>
          </w:tcPr>
          <w:p>
            <w:r>
              <w:t>2220</w:t>
            </w:r>
          </w:p>
        </w:tc>
        <w:tc>
          <w:tcPr>
            <w:tcW w:type="dxa" w:w="2160"/>
          </w:tcPr>
          <w:p>
            <w:r>
              <w:t>Accruals</w:t>
            </w:r>
          </w:p>
        </w:tc>
        <w:tc>
          <w:tcPr>
            <w:tcW w:type="dxa" w:w="2160"/>
          </w:tcPr>
          <w:p>
            <w:r>
              <w:t>—</w:t>
            </w:r>
          </w:p>
        </w:tc>
        <w:tc>
          <w:tcPr>
            <w:tcW w:type="dxa" w:w="2160"/>
          </w:tcPr>
          <w:p>
            <w:r>
              <w:t>5,600</w:t>
            </w:r>
          </w:p>
        </w:tc>
      </w:tr>
      <w:tr>
        <w:tc>
          <w:tcPr>
            <w:tcW w:type="dxa" w:w="2160"/>
          </w:tcPr>
          <w:p>
            <w:r>
              <w:t>2230</w:t>
            </w:r>
          </w:p>
        </w:tc>
        <w:tc>
          <w:tcPr>
            <w:tcW w:type="dxa" w:w="2160"/>
          </w:tcPr>
          <w:p>
            <w:r>
              <w:t>Corporation tax</w:t>
            </w:r>
          </w:p>
        </w:tc>
        <w:tc>
          <w:tcPr>
            <w:tcW w:type="dxa" w:w="2160"/>
          </w:tcPr>
          <w:p>
            <w:r>
              <w:t>—</w:t>
            </w:r>
          </w:p>
        </w:tc>
        <w:tc>
          <w:tcPr>
            <w:tcW w:type="dxa" w:w="2160"/>
          </w:tcPr>
          <w:p>
            <w:r>
              <w:t>14,300</w:t>
            </w:r>
          </w:p>
        </w:tc>
      </w:tr>
      <w:tr>
        <w:tc>
          <w:tcPr>
            <w:tcW w:type="dxa" w:w="2160"/>
          </w:tcPr>
          <w:p>
            <w:r>
              <w:t>2240</w:t>
            </w:r>
          </w:p>
        </w:tc>
        <w:tc>
          <w:tcPr>
            <w:tcW w:type="dxa" w:w="2160"/>
          </w:tcPr>
          <w:p>
            <w:r>
              <w:t>Loan — due within one year</w:t>
            </w:r>
          </w:p>
        </w:tc>
        <w:tc>
          <w:tcPr>
            <w:tcW w:type="dxa" w:w="2160"/>
          </w:tcPr>
          <w:p>
            <w:r>
              <w:t>—</w:t>
            </w:r>
          </w:p>
        </w:tc>
        <w:tc>
          <w:tcPr>
            <w:tcW w:type="dxa" w:w="2160"/>
          </w:tcPr>
          <w:p>
            <w:r>
              <w:t>15,000</w:t>
            </w:r>
          </w:p>
        </w:tc>
      </w:tr>
      <w:tr>
        <w:tc>
          <w:tcPr>
            <w:tcW w:type="dxa" w:w="2160"/>
          </w:tcPr>
          <w:p>
            <w:r>
              <w:t>2300</w:t>
            </w:r>
          </w:p>
        </w:tc>
        <w:tc>
          <w:tcPr>
            <w:tcW w:type="dxa" w:w="2160"/>
          </w:tcPr>
          <w:p>
            <w:r>
              <w:t>Loan — due after more than one year</w:t>
            </w:r>
          </w:p>
        </w:tc>
        <w:tc>
          <w:tcPr>
            <w:tcW w:type="dxa" w:w="2160"/>
          </w:tcPr>
          <w:p>
            <w:r>
              <w:t>—</w:t>
            </w:r>
          </w:p>
        </w:tc>
        <w:tc>
          <w:tcPr>
            <w:tcW w:type="dxa" w:w="2160"/>
          </w:tcPr>
          <w:p>
            <w:r>
              <w:t>120,000</w:t>
            </w:r>
          </w:p>
        </w:tc>
      </w:tr>
      <w:tr>
        <w:tc>
          <w:tcPr>
            <w:tcW w:type="dxa" w:w="2160"/>
          </w:tcPr>
          <w:p>
            <w:r>
              <w:t>3000</w:t>
            </w:r>
          </w:p>
        </w:tc>
        <w:tc>
          <w:tcPr>
            <w:tcW w:type="dxa" w:w="2160"/>
          </w:tcPr>
          <w:p>
            <w:r>
              <w:t>Called up share capital</w:t>
            </w:r>
          </w:p>
        </w:tc>
        <w:tc>
          <w:tcPr>
            <w:tcW w:type="dxa" w:w="2160"/>
          </w:tcPr>
          <w:p>
            <w:r>
              <w:t>—</w:t>
            </w:r>
          </w:p>
        </w:tc>
        <w:tc>
          <w:tcPr>
            <w:tcW w:type="dxa" w:w="2160"/>
          </w:tcPr>
          <w:p>
            <w:r>
              <w:t>100</w:t>
            </w:r>
          </w:p>
        </w:tc>
      </w:tr>
      <w:tr>
        <w:tc>
          <w:tcPr>
            <w:tcW w:type="dxa" w:w="2160"/>
          </w:tcPr>
          <w:p>
            <w:r>
              <w:t>3100</w:t>
            </w:r>
          </w:p>
        </w:tc>
        <w:tc>
          <w:tcPr>
            <w:tcW w:type="dxa" w:w="2160"/>
          </w:tcPr>
          <w:p>
            <w:r>
              <w:t>Retained earnings b/f</w:t>
            </w:r>
          </w:p>
        </w:tc>
        <w:tc>
          <w:tcPr>
            <w:tcW w:type="dxa" w:w="2160"/>
          </w:tcPr>
          <w:p>
            <w:r>
              <w:t>—</w:t>
            </w:r>
          </w:p>
        </w:tc>
        <w:tc>
          <w:tcPr>
            <w:tcW w:type="dxa" w:w="2160"/>
          </w:tcPr>
          <w:p>
            <w:r>
              <w:t>322,062</w:t>
            </w:r>
          </w:p>
        </w:tc>
      </w:tr>
      <w:tr>
        <w:tc>
          <w:tcPr>
            <w:tcW w:type="dxa" w:w="2160"/>
          </w:tcPr>
          <w:p>
            <w:r>
              <w:t>4000</w:t>
            </w:r>
          </w:p>
        </w:tc>
        <w:tc>
          <w:tcPr>
            <w:tcW w:type="dxa" w:w="2160"/>
          </w:tcPr>
          <w:p>
            <w:r>
              <w:t>Sales revenue</w:t>
            </w:r>
          </w:p>
        </w:tc>
        <w:tc>
          <w:tcPr>
            <w:tcW w:type="dxa" w:w="2160"/>
          </w:tcPr>
          <w:p>
            <w:r>
              <w:t>—</w:t>
            </w:r>
          </w:p>
        </w:tc>
        <w:tc>
          <w:tcPr>
            <w:tcW w:type="dxa" w:w="2160"/>
          </w:tcPr>
          <w:p>
            <w:r>
              <w:t>2,421,300</w:t>
            </w:r>
          </w:p>
        </w:tc>
      </w:tr>
      <w:tr>
        <w:tc>
          <w:tcPr>
            <w:tcW w:type="dxa" w:w="2160"/>
          </w:tcPr>
          <w:p>
            <w:r>
              <w:t>5000</w:t>
            </w:r>
          </w:p>
        </w:tc>
        <w:tc>
          <w:tcPr>
            <w:tcW w:type="dxa" w:w="2160"/>
          </w:tcPr>
          <w:p>
            <w:r>
              <w:t>Cost of sales</w:t>
            </w:r>
          </w:p>
        </w:tc>
        <w:tc>
          <w:tcPr>
            <w:tcW w:type="dxa" w:w="2160"/>
          </w:tcPr>
          <w:p>
            <w:r>
              <w:t>1,579,600</w:t>
            </w:r>
          </w:p>
        </w:tc>
        <w:tc>
          <w:tcPr>
            <w:tcW w:type="dxa" w:w="2160"/>
          </w:tcPr>
          <w:p>
            <w:r>
              <w:t>—</w:t>
            </w:r>
          </w:p>
        </w:tc>
      </w:tr>
      <w:tr>
        <w:tc>
          <w:tcPr>
            <w:tcW w:type="dxa" w:w="2160"/>
          </w:tcPr>
          <w:p>
            <w:r>
              <w:t>6000</w:t>
            </w:r>
          </w:p>
        </w:tc>
        <w:tc>
          <w:tcPr>
            <w:tcW w:type="dxa" w:w="2160"/>
          </w:tcPr>
          <w:p>
            <w:r>
              <w:t>Administrative expenses</w:t>
            </w:r>
          </w:p>
        </w:tc>
        <w:tc>
          <w:tcPr>
            <w:tcW w:type="dxa" w:w="2160"/>
          </w:tcPr>
          <w:p>
            <w:r>
              <w:t>611,750</w:t>
            </w:r>
          </w:p>
        </w:tc>
        <w:tc>
          <w:tcPr>
            <w:tcW w:type="dxa" w:w="2160"/>
          </w:tcPr>
          <w:p>
            <w:r>
              <w:t>—</w:t>
            </w:r>
          </w:p>
        </w:tc>
      </w:tr>
      <w:tr>
        <w:tc>
          <w:tcPr>
            <w:tcW w:type="dxa" w:w="2160"/>
          </w:tcPr>
          <w:p>
            <w:r>
              <w:t>6100</w:t>
            </w:r>
          </w:p>
        </w:tc>
        <w:tc>
          <w:tcPr>
            <w:tcW w:type="dxa" w:w="2160"/>
          </w:tcPr>
          <w:p>
            <w:r>
              <w:t>Interest receivable</w:t>
            </w:r>
          </w:p>
        </w:tc>
        <w:tc>
          <w:tcPr>
            <w:tcW w:type="dxa" w:w="2160"/>
          </w:tcPr>
          <w:p>
            <w:r>
              <w:t>—</w:t>
            </w:r>
          </w:p>
        </w:tc>
        <w:tc>
          <w:tcPr>
            <w:tcW w:type="dxa" w:w="2160"/>
          </w:tcPr>
          <w:p>
            <w:r>
              <w:t>1,200</w:t>
            </w:r>
          </w:p>
        </w:tc>
      </w:tr>
      <w:tr>
        <w:tc>
          <w:tcPr>
            <w:tcW w:type="dxa" w:w="2160"/>
          </w:tcPr>
          <w:p>
            <w:r>
              <w:t>7000</w:t>
            </w:r>
          </w:p>
        </w:tc>
        <w:tc>
          <w:tcPr>
            <w:tcW w:type="dxa" w:w="2160"/>
          </w:tcPr>
          <w:p>
            <w:r>
              <w:t>Depreciation charge</w:t>
            </w:r>
          </w:p>
        </w:tc>
        <w:tc>
          <w:tcPr>
            <w:tcW w:type="dxa" w:w="2160"/>
          </w:tcPr>
          <w:p>
            <w:r>
              <w:t>22,400</w:t>
            </w:r>
          </w:p>
        </w:tc>
        <w:tc>
          <w:tcPr>
            <w:tcW w:type="dxa" w:w="2160"/>
          </w:tcPr>
          <w:p>
            <w:r>
              <w:t>—</w:t>
            </w:r>
          </w:p>
        </w:tc>
      </w:tr>
      <w:tr>
        <w:tc>
          <w:tcPr>
            <w:tcW w:type="dxa" w:w="2160"/>
          </w:tcPr>
          <w:p>
            <w:r>
              <w:t>7100</w:t>
            </w:r>
          </w:p>
        </w:tc>
        <w:tc>
          <w:tcPr>
            <w:tcW w:type="dxa" w:w="2160"/>
          </w:tcPr>
          <w:p>
            <w:r>
              <w:t>Interest payable</w:t>
            </w:r>
          </w:p>
        </w:tc>
        <w:tc>
          <w:tcPr>
            <w:tcW w:type="dxa" w:w="2160"/>
          </w:tcPr>
          <w:p>
            <w:r>
              <w:t>9,600</w:t>
            </w:r>
          </w:p>
        </w:tc>
        <w:tc>
          <w:tcPr>
            <w:tcW w:type="dxa" w:w="2160"/>
          </w:tcPr>
          <w:p>
            <w:r>
              <w:t>—</w:t>
            </w:r>
          </w:p>
        </w:tc>
      </w:tr>
      <w:tr>
        <w:tc>
          <w:tcPr>
            <w:tcW w:type="dxa" w:w="2160"/>
          </w:tcPr>
          <w:p>
            <w:r>
              <w:t>8500</w:t>
            </w:r>
          </w:p>
        </w:tc>
        <w:tc>
          <w:tcPr>
            <w:tcW w:type="dxa" w:w="2160"/>
          </w:tcPr>
          <w:p>
            <w:r>
              <w:t>Dividends paid</w:t>
            </w:r>
          </w:p>
        </w:tc>
        <w:tc>
          <w:tcPr>
            <w:tcW w:type="dxa" w:w="2160"/>
          </w:tcPr>
          <w:p>
            <w:r>
              <w:t>24,000</w:t>
            </w:r>
          </w:p>
        </w:tc>
        <w:tc>
          <w:tcPr>
            <w:tcW w:type="dxa" w:w="2160"/>
          </w:tcPr>
          <w:p>
            <w:r>
              <w:t>—</w:t>
            </w:r>
          </w:p>
        </w:tc>
      </w:tr>
      <w:tr>
        <w:tc>
          <w:tcPr>
            <w:tcW w:type="dxa" w:w="2160"/>
          </w:tcPr>
          <w:p>
            <w:r>
              <w:t>8600</w:t>
            </w:r>
          </w:p>
        </w:tc>
        <w:tc>
          <w:tcPr>
            <w:tcW w:type="dxa" w:w="2160"/>
          </w:tcPr>
          <w:p>
            <w:r>
              <w:t>Tax charge</w:t>
            </w:r>
          </w:p>
        </w:tc>
        <w:tc>
          <w:tcPr>
            <w:tcW w:type="dxa" w:w="2160"/>
          </w:tcPr>
          <w:p>
            <w:r>
              <w:t>41,500</w:t>
            </w:r>
          </w:p>
        </w:tc>
        <w:tc>
          <w:tcPr>
            <w:tcW w:type="dxa" w:w="2160"/>
          </w:tcPr>
          <w:p>
            <w:r>
              <w:t>—</w:t>
            </w:r>
          </w:p>
        </w:tc>
      </w:tr>
      <w:tr>
        <w:tc>
          <w:tcPr>
            <w:tcW w:type="dxa" w:w="2160"/>
          </w:tcPr>
          <w:p>
            <w:r/>
          </w:p>
        </w:tc>
        <w:tc>
          <w:tcPr>
            <w:tcW w:type="dxa" w:w="2160"/>
          </w:tcPr>
          <w:p>
            <w:r>
              <w:t>TOTALS</w:t>
            </w:r>
          </w:p>
        </w:tc>
        <w:tc>
          <w:tcPr>
            <w:tcW w:type="dxa" w:w="2160"/>
          </w:tcPr>
          <w:p>
            <w:r>
              <w:t>3,051,162</w:t>
            </w:r>
          </w:p>
        </w:tc>
        <w:tc>
          <w:tcPr>
            <w:tcW w:type="dxa" w:w="2160"/>
          </w:tcPr>
          <w:p>
            <w:r>
              <w:t>3,051,162</w:t>
            </w:r>
          </w:p>
        </w:tc>
      </w:tr>
    </w:tbl>
    <w:p/>
    <w:p>
      <w:pPr>
        <w:pStyle w:val="Heading2"/>
      </w:pPr>
      <w:r>
        <w:rPr>
          <w:color w:val="1F6F3B"/>
        </w:rPr>
        <w:t>7.2 Validated prior-year data (2025)</w:t>
      </w:r>
    </w:p>
    <w:tbl>
      <w:tblPr>
        <w:tblStyle w:val="LightGrid-Accent6"/>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2025</w:t>
            </w:r>
          </w:p>
        </w:tc>
      </w:tr>
      <w:tr>
        <w:tc>
          <w:tcPr>
            <w:tcW w:type="dxa" w:w="4320"/>
          </w:tcPr>
          <w:p>
            <w:r>
              <w:t>Intangible assets (NBV)</w:t>
            </w:r>
          </w:p>
        </w:tc>
        <w:tc>
          <w:tcPr>
            <w:tcW w:type="dxa" w:w="4320"/>
          </w:tcPr>
          <w:p>
            <w:r>
              <w:t>—</w:t>
            </w:r>
          </w:p>
        </w:tc>
      </w:tr>
      <w:tr>
        <w:tc>
          <w:tcPr>
            <w:tcW w:type="dxa" w:w="4320"/>
          </w:tcPr>
          <w:p>
            <w:r>
              <w:t>Tangible fixed assets (NBV)</w:t>
            </w:r>
          </w:p>
        </w:tc>
        <w:tc>
          <w:tcPr>
            <w:tcW w:type="dxa" w:w="4320"/>
          </w:tcPr>
          <w:p>
            <w:r>
              <w:t>111,400</w:t>
            </w:r>
          </w:p>
        </w:tc>
      </w:tr>
      <w:tr>
        <w:tc>
          <w:tcPr>
            <w:tcW w:type="dxa" w:w="4320"/>
          </w:tcPr>
          <w:p>
            <w:r>
              <w:t>Right-of-use assets</w:t>
            </w:r>
          </w:p>
        </w:tc>
        <w:tc>
          <w:tcPr>
            <w:tcW w:type="dxa" w:w="4320"/>
          </w:tcPr>
          <w:p>
            <w:r>
              <w:t>—</w:t>
            </w:r>
          </w:p>
        </w:tc>
      </w:tr>
      <w:tr>
        <w:tc>
          <w:tcPr>
            <w:tcW w:type="dxa" w:w="4320"/>
          </w:tcPr>
          <w:p>
            <w:r>
              <w:t>Stocks</w:t>
            </w:r>
          </w:p>
        </w:tc>
        <w:tc>
          <w:tcPr>
            <w:tcW w:type="dxa" w:w="4320"/>
          </w:tcPr>
          <w:p>
            <w:r>
              <w:t>—</w:t>
            </w:r>
          </w:p>
        </w:tc>
      </w:tr>
      <w:tr>
        <w:tc>
          <w:tcPr>
            <w:tcW w:type="dxa" w:w="4320"/>
          </w:tcPr>
          <w:p>
            <w:r>
              <w:t>Trade debtors</w:t>
            </w:r>
          </w:p>
        </w:tc>
        <w:tc>
          <w:tcPr>
            <w:tcW w:type="dxa" w:w="4320"/>
          </w:tcPr>
          <w:p>
            <w:r>
              <w:t>225,000</w:t>
            </w:r>
          </w:p>
        </w:tc>
      </w:tr>
      <w:tr>
        <w:tc>
          <w:tcPr>
            <w:tcW w:type="dxa" w:w="4320"/>
          </w:tcPr>
          <w:p>
            <w:r>
              <w:t>Other debtors (incl. prepayments)</w:t>
            </w:r>
          </w:p>
        </w:tc>
        <w:tc>
          <w:tcPr>
            <w:tcW w:type="dxa" w:w="4320"/>
          </w:tcPr>
          <w:p>
            <w:r>
              <w:t>15,500</w:t>
            </w:r>
          </w:p>
        </w:tc>
      </w:tr>
      <w:tr>
        <w:tc>
          <w:tcPr>
            <w:tcW w:type="dxa" w:w="4320"/>
          </w:tcPr>
          <w:p>
            <w:r>
              <w:t>Cash at bank</w:t>
            </w:r>
          </w:p>
        </w:tc>
        <w:tc>
          <w:tcPr>
            <w:tcW w:type="dxa" w:w="4320"/>
          </w:tcPr>
          <w:p>
            <w:r>
              <w:t>176,262</w:t>
            </w:r>
          </w:p>
        </w:tc>
      </w:tr>
      <w:tr>
        <w:tc>
          <w:tcPr>
            <w:tcW w:type="dxa" w:w="4320"/>
          </w:tcPr>
          <w:p>
            <w:r>
              <w:t>Total current assets</w:t>
            </w:r>
          </w:p>
        </w:tc>
        <w:tc>
          <w:tcPr>
            <w:tcW w:type="dxa" w:w="4320"/>
          </w:tcPr>
          <w:p>
            <w:r>
              <w:t>416,762</w:t>
            </w:r>
          </w:p>
        </w:tc>
      </w:tr>
      <w:tr>
        <w:tc>
          <w:tcPr>
            <w:tcW w:type="dxa" w:w="4320"/>
          </w:tcPr>
          <w:p>
            <w:r>
              <w:t>Creditors due within one year</w:t>
            </w:r>
          </w:p>
        </w:tc>
        <w:tc>
          <w:tcPr>
            <w:tcW w:type="dxa" w:w="4320"/>
          </w:tcPr>
          <w:p>
            <w:r>
              <w:t>(71,000)</w:t>
            </w:r>
          </w:p>
        </w:tc>
      </w:tr>
      <w:tr>
        <w:tc>
          <w:tcPr>
            <w:tcW w:type="dxa" w:w="4320"/>
          </w:tcPr>
          <w:p>
            <w:r>
              <w:t>Net current assets</w:t>
            </w:r>
          </w:p>
        </w:tc>
        <w:tc>
          <w:tcPr>
            <w:tcW w:type="dxa" w:w="4320"/>
          </w:tcPr>
          <w:p>
            <w:r>
              <w:t>345,762</w:t>
            </w:r>
          </w:p>
        </w:tc>
      </w:tr>
      <w:tr>
        <w:tc>
          <w:tcPr>
            <w:tcW w:type="dxa" w:w="4320"/>
          </w:tcPr>
          <w:p>
            <w:r>
              <w:t>Total assets less current liabilities</w:t>
            </w:r>
          </w:p>
        </w:tc>
        <w:tc>
          <w:tcPr>
            <w:tcW w:type="dxa" w:w="4320"/>
          </w:tcPr>
          <w:p>
            <w:r>
              <w:t>457,162</w:t>
            </w:r>
          </w:p>
        </w:tc>
      </w:tr>
      <w:tr>
        <w:tc>
          <w:tcPr>
            <w:tcW w:type="dxa" w:w="4320"/>
          </w:tcPr>
          <w:p>
            <w:r>
              <w:t>Lease liabilities</w:t>
            </w:r>
          </w:p>
        </w:tc>
        <w:tc>
          <w:tcPr>
            <w:tcW w:type="dxa" w:w="4320"/>
          </w:tcPr>
          <w:p>
            <w:r>
              <w:t>—</w:t>
            </w:r>
          </w:p>
        </w:tc>
      </w:tr>
      <w:tr>
        <w:tc>
          <w:tcPr>
            <w:tcW w:type="dxa" w:w="4320"/>
          </w:tcPr>
          <w:p>
            <w:r>
              <w:t>Creditors due after more than one year</w:t>
            </w:r>
          </w:p>
        </w:tc>
        <w:tc>
          <w:tcPr>
            <w:tcW w:type="dxa" w:w="4320"/>
          </w:tcPr>
          <w:p>
            <w:r>
              <w:t>(135,000)</w:t>
            </w:r>
          </w:p>
        </w:tc>
      </w:tr>
      <w:tr>
        <w:tc>
          <w:tcPr>
            <w:tcW w:type="dxa" w:w="4320"/>
          </w:tcPr>
          <w:p>
            <w:r>
              <w:t>Net assets</w:t>
            </w:r>
          </w:p>
        </w:tc>
        <w:tc>
          <w:tcPr>
            <w:tcW w:type="dxa" w:w="4320"/>
          </w:tcPr>
          <w:p>
            <w:r>
              <w:t>322,162</w:t>
            </w:r>
          </w:p>
        </w:tc>
      </w:tr>
      <w:tr>
        <w:tc>
          <w:tcPr>
            <w:tcW w:type="dxa" w:w="4320"/>
          </w:tcPr>
          <w:p>
            <w:r>
              <w:t>Called up share capital</w:t>
            </w:r>
          </w:p>
        </w:tc>
        <w:tc>
          <w:tcPr>
            <w:tcW w:type="dxa" w:w="4320"/>
          </w:tcPr>
          <w:p>
            <w:r>
              <w:t>100</w:t>
            </w:r>
          </w:p>
        </w:tc>
      </w:tr>
      <w:tr>
        <w:tc>
          <w:tcPr>
            <w:tcW w:type="dxa" w:w="4320"/>
          </w:tcPr>
          <w:p>
            <w:r>
              <w:t>Retained earnings</w:t>
            </w:r>
          </w:p>
        </w:tc>
        <w:tc>
          <w:tcPr>
            <w:tcW w:type="dxa" w:w="4320"/>
          </w:tcPr>
          <w:p>
            <w:r>
              <w:t>322,062</w:t>
            </w:r>
          </w:p>
        </w:tc>
      </w:tr>
      <w:tr>
        <w:tc>
          <w:tcPr>
            <w:tcW w:type="dxa" w:w="4320"/>
          </w:tcPr>
          <w:p>
            <w:r>
              <w:t>Turnover</w:t>
            </w:r>
          </w:p>
        </w:tc>
        <w:tc>
          <w:tcPr>
            <w:tcW w:type="dxa" w:w="4320"/>
          </w:tcPr>
          <w:p>
            <w:r>
              <w:t>2,105,400</w:t>
            </w:r>
          </w:p>
        </w:tc>
      </w:tr>
      <w:tr>
        <w:tc>
          <w:tcPr>
            <w:tcW w:type="dxa" w:w="4320"/>
          </w:tcPr>
          <w:p>
            <w:r>
              <w:t>Profit for the year</w:t>
            </w:r>
          </w:p>
        </w:tc>
        <w:tc>
          <w:tcPr>
            <w:tcW w:type="dxa" w:w="4320"/>
          </w:tcPr>
          <w:p>
            <w:r>
              <w:t>98,200</w:t>
            </w:r>
          </w:p>
        </w:tc>
      </w:tr>
    </w:tbl>
    <w:p/>
    <w:p>
      <w:pPr>
        <w:pStyle w:val="Heading2"/>
      </w:pPr>
      <w:r>
        <w:rPr>
          <w:color w:val="1F6F3B"/>
        </w:rPr>
        <w:t>7.3 Expected income statement (statutory function-of-expense format)</w:t>
      </w:r>
    </w:p>
    <w:p>
      <w:r>
        <w:rPr>
          <w:b w:val="0"/>
          <w:i/>
        </w:rPr>
        <w:t>Depreciation is not a separate face line — administrative expenses include it (611,750 + 22,400 = 634,150). Comparatives are signed with depreciation included (540,200 + 20,100 = 560,300).</w:t>
      </w:r>
    </w:p>
    <w:tbl>
      <w:tblPr>
        <w:tblStyle w:val="LightGrid-Accent6"/>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2026 €</w:t>
            </w:r>
          </w:p>
        </w:tc>
        <w:tc>
          <w:tcPr>
            <w:tcW w:type="dxa" w:w="2880"/>
          </w:tcPr>
          <w:p>
            <w:r>
              <w:rPr>
                <w:b/>
              </w:rPr>
              <w:t>2025 €</w:t>
            </w:r>
          </w:p>
        </w:tc>
      </w:tr>
      <w:tr>
        <w:tc>
          <w:tcPr>
            <w:tcW w:type="dxa" w:w="2880"/>
          </w:tcPr>
          <w:p>
            <w:r>
              <w:t>Turnover</w:t>
            </w:r>
          </w:p>
        </w:tc>
        <w:tc>
          <w:tcPr>
            <w:tcW w:type="dxa" w:w="2880"/>
          </w:tcPr>
          <w:p>
            <w:r>
              <w:t>2,421,300</w:t>
            </w:r>
          </w:p>
        </w:tc>
        <w:tc>
          <w:tcPr>
            <w:tcW w:type="dxa" w:w="2880"/>
          </w:tcPr>
          <w:p>
            <w:r>
              <w:t>2,105,400</w:t>
            </w:r>
          </w:p>
        </w:tc>
      </w:tr>
      <w:tr>
        <w:tc>
          <w:tcPr>
            <w:tcW w:type="dxa" w:w="2880"/>
          </w:tcPr>
          <w:p>
            <w:r>
              <w:t>Cost of sales</w:t>
            </w:r>
          </w:p>
        </w:tc>
        <w:tc>
          <w:tcPr>
            <w:tcW w:type="dxa" w:w="2880"/>
          </w:tcPr>
          <w:p>
            <w:r>
              <w:t>(1,579,600)</w:t>
            </w:r>
          </w:p>
        </w:tc>
        <w:tc>
          <w:tcPr>
            <w:tcW w:type="dxa" w:w="2880"/>
          </w:tcPr>
          <w:p>
            <w:r>
              <w:t>(1,402,000)</w:t>
            </w:r>
          </w:p>
        </w:tc>
      </w:tr>
      <w:tr>
        <w:tc>
          <w:tcPr>
            <w:tcW w:type="dxa" w:w="2880"/>
          </w:tcPr>
          <w:p>
            <w:r>
              <w:t>Gross profit</w:t>
            </w:r>
          </w:p>
        </w:tc>
        <w:tc>
          <w:tcPr>
            <w:tcW w:type="dxa" w:w="2880"/>
          </w:tcPr>
          <w:p>
            <w:r>
              <w:t>841,700</w:t>
            </w:r>
          </w:p>
        </w:tc>
        <w:tc>
          <w:tcPr>
            <w:tcW w:type="dxa" w:w="2880"/>
          </w:tcPr>
          <w:p>
            <w:r>
              <w:t>703,400</w:t>
            </w:r>
          </w:p>
        </w:tc>
      </w:tr>
      <w:tr>
        <w:tc>
          <w:tcPr>
            <w:tcW w:type="dxa" w:w="2880"/>
          </w:tcPr>
          <w:p>
            <w:r>
              <w:t>Distribution costs</w:t>
            </w:r>
          </w:p>
        </w:tc>
        <w:tc>
          <w:tcPr>
            <w:tcW w:type="dxa" w:w="2880"/>
          </w:tcPr>
          <w:p>
            <w:r>
              <w:t>—</w:t>
            </w:r>
          </w:p>
        </w:tc>
        <w:tc>
          <w:tcPr>
            <w:tcW w:type="dxa" w:w="2880"/>
          </w:tcPr>
          <w:p>
            <w:r>
              <w:t>—</w:t>
            </w:r>
          </w:p>
        </w:tc>
      </w:tr>
      <w:tr>
        <w:tc>
          <w:tcPr>
            <w:tcW w:type="dxa" w:w="2880"/>
          </w:tcPr>
          <w:p>
            <w:r>
              <w:t>Administrative expenses (including depreciation)</w:t>
            </w:r>
          </w:p>
        </w:tc>
        <w:tc>
          <w:tcPr>
            <w:tcW w:type="dxa" w:w="2880"/>
          </w:tcPr>
          <w:p>
            <w:r>
              <w:t>(634,150)</w:t>
            </w:r>
          </w:p>
        </w:tc>
        <w:tc>
          <w:tcPr>
            <w:tcW w:type="dxa" w:w="2880"/>
          </w:tcPr>
          <w:p>
            <w:r>
              <w:t>(560,300)</w:t>
            </w:r>
          </w:p>
        </w:tc>
      </w:tr>
      <w:tr>
        <w:tc>
          <w:tcPr>
            <w:tcW w:type="dxa" w:w="2880"/>
          </w:tcPr>
          <w:p>
            <w:r>
              <w:t>Other operating income</w:t>
            </w:r>
          </w:p>
        </w:tc>
        <w:tc>
          <w:tcPr>
            <w:tcW w:type="dxa" w:w="2880"/>
          </w:tcPr>
          <w:p>
            <w:r>
              <w:t>—</w:t>
            </w:r>
          </w:p>
        </w:tc>
        <w:tc>
          <w:tcPr>
            <w:tcW w:type="dxa" w:w="2880"/>
          </w:tcPr>
          <w:p>
            <w:r>
              <w:t>—</w:t>
            </w:r>
          </w:p>
        </w:tc>
      </w:tr>
      <w:tr>
        <w:tc>
          <w:tcPr>
            <w:tcW w:type="dxa" w:w="2880"/>
          </w:tcPr>
          <w:p>
            <w:r>
              <w:t>Operating profit</w:t>
            </w:r>
          </w:p>
        </w:tc>
        <w:tc>
          <w:tcPr>
            <w:tcW w:type="dxa" w:w="2880"/>
          </w:tcPr>
          <w:p>
            <w:r>
              <w:t>207,550</w:t>
            </w:r>
          </w:p>
        </w:tc>
        <w:tc>
          <w:tcPr>
            <w:tcW w:type="dxa" w:w="2880"/>
          </w:tcPr>
          <w:p>
            <w:r>
              <w:t>143,100</w:t>
            </w:r>
          </w:p>
        </w:tc>
      </w:tr>
      <w:tr>
        <w:tc>
          <w:tcPr>
            <w:tcW w:type="dxa" w:w="2880"/>
          </w:tcPr>
          <w:p>
            <w:r>
              <w:t>Interest receivable</w:t>
            </w:r>
          </w:p>
        </w:tc>
        <w:tc>
          <w:tcPr>
            <w:tcW w:type="dxa" w:w="2880"/>
          </w:tcPr>
          <w:p>
            <w:r>
              <w:t>1,200</w:t>
            </w:r>
          </w:p>
        </w:tc>
        <w:tc>
          <w:tcPr>
            <w:tcW w:type="dxa" w:w="2880"/>
          </w:tcPr>
          <w:p>
            <w:r>
              <w:t>900</w:t>
            </w:r>
          </w:p>
        </w:tc>
      </w:tr>
      <w:tr>
        <w:tc>
          <w:tcPr>
            <w:tcW w:type="dxa" w:w="2880"/>
          </w:tcPr>
          <w:p>
            <w:r>
              <w:t>Interest payable</w:t>
            </w:r>
          </w:p>
        </w:tc>
        <w:tc>
          <w:tcPr>
            <w:tcW w:type="dxa" w:w="2880"/>
          </w:tcPr>
          <w:p>
            <w:r>
              <w:t>(9,600)</w:t>
            </w:r>
          </w:p>
        </w:tc>
        <w:tc>
          <w:tcPr>
            <w:tcW w:type="dxa" w:w="2880"/>
          </w:tcPr>
          <w:p>
            <w:r>
              <w:t>(11,200)</w:t>
            </w:r>
          </w:p>
        </w:tc>
      </w:tr>
      <w:tr>
        <w:tc>
          <w:tcPr>
            <w:tcW w:type="dxa" w:w="2880"/>
          </w:tcPr>
          <w:p>
            <w:r>
              <w:t>Profit before tax</w:t>
            </w:r>
          </w:p>
        </w:tc>
        <w:tc>
          <w:tcPr>
            <w:tcW w:type="dxa" w:w="2880"/>
          </w:tcPr>
          <w:p>
            <w:r>
              <w:t>199,150</w:t>
            </w:r>
          </w:p>
        </w:tc>
        <w:tc>
          <w:tcPr>
            <w:tcW w:type="dxa" w:w="2880"/>
          </w:tcPr>
          <w:p>
            <w:r>
              <w:t>132,800</w:t>
            </w:r>
          </w:p>
        </w:tc>
      </w:tr>
      <w:tr>
        <w:tc>
          <w:tcPr>
            <w:tcW w:type="dxa" w:w="2880"/>
          </w:tcPr>
          <w:p>
            <w:r>
              <w:t>Tax on profit</w:t>
            </w:r>
          </w:p>
        </w:tc>
        <w:tc>
          <w:tcPr>
            <w:tcW w:type="dxa" w:w="2880"/>
          </w:tcPr>
          <w:p>
            <w:r>
              <w:t>(41,500)</w:t>
            </w:r>
          </w:p>
        </w:tc>
        <w:tc>
          <w:tcPr>
            <w:tcW w:type="dxa" w:w="2880"/>
          </w:tcPr>
          <w:p>
            <w:r>
              <w:t>(34,600)</w:t>
            </w:r>
          </w:p>
        </w:tc>
      </w:tr>
      <w:tr>
        <w:tc>
          <w:tcPr>
            <w:tcW w:type="dxa" w:w="2880"/>
          </w:tcPr>
          <w:p>
            <w:r>
              <w:t>Profit for the financial year</w:t>
            </w:r>
          </w:p>
        </w:tc>
        <w:tc>
          <w:tcPr>
            <w:tcW w:type="dxa" w:w="2880"/>
          </w:tcPr>
          <w:p>
            <w:r>
              <w:t>157,650</w:t>
            </w:r>
          </w:p>
        </w:tc>
        <w:tc>
          <w:tcPr>
            <w:tcW w:type="dxa" w:w="2880"/>
          </w:tcPr>
          <w:p>
            <w:r>
              <w:t>98,200</w:t>
            </w:r>
          </w:p>
        </w:tc>
      </w:tr>
    </w:tbl>
    <w:p/>
    <w:p>
      <w:pPr>
        <w:pStyle w:val="Heading2"/>
      </w:pPr>
      <w:r>
        <w:rPr>
          <w:color w:val="1F6F3B"/>
        </w:rPr>
        <w:t>7.4 Expected statement of financial position</w:t>
      </w:r>
    </w:p>
    <w:tbl>
      <w:tblPr>
        <w:tblStyle w:val="LightGrid-Accent6"/>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2026 €</w:t>
            </w:r>
          </w:p>
        </w:tc>
        <w:tc>
          <w:tcPr>
            <w:tcW w:type="dxa" w:w="2880"/>
          </w:tcPr>
          <w:p>
            <w:r>
              <w:rPr>
                <w:b/>
              </w:rPr>
              <w:t>2025 €</w:t>
            </w:r>
          </w:p>
        </w:tc>
      </w:tr>
      <w:tr>
        <w:tc>
          <w:tcPr>
            <w:tcW w:type="dxa" w:w="2880"/>
          </w:tcPr>
          <w:p>
            <w:r>
              <w:t>Intangible assets</w:t>
            </w:r>
          </w:p>
        </w:tc>
        <w:tc>
          <w:tcPr>
            <w:tcW w:type="dxa" w:w="2880"/>
          </w:tcPr>
          <w:p>
            <w:r>
              <w:t>—</w:t>
            </w:r>
          </w:p>
        </w:tc>
        <w:tc>
          <w:tcPr>
            <w:tcW w:type="dxa" w:w="2880"/>
          </w:tcPr>
          <w:p>
            <w:r>
              <w:t>—</w:t>
            </w:r>
          </w:p>
        </w:tc>
      </w:tr>
      <w:tr>
        <w:tc>
          <w:tcPr>
            <w:tcW w:type="dxa" w:w="2880"/>
          </w:tcPr>
          <w:p>
            <w:r>
              <w:t>Tangible assets</w:t>
            </w:r>
          </w:p>
        </w:tc>
        <w:tc>
          <w:tcPr>
            <w:tcW w:type="dxa" w:w="2880"/>
          </w:tcPr>
          <w:p>
            <w:r>
              <w:t>134,000</w:t>
            </w:r>
          </w:p>
        </w:tc>
        <w:tc>
          <w:tcPr>
            <w:tcW w:type="dxa" w:w="2880"/>
          </w:tcPr>
          <w:p>
            <w:r>
              <w:t>111,400</w:t>
            </w:r>
          </w:p>
        </w:tc>
      </w:tr>
      <w:tr>
        <w:tc>
          <w:tcPr>
            <w:tcW w:type="dxa" w:w="2880"/>
          </w:tcPr>
          <w:p>
            <w:r>
              <w:t>Right-of-use assets</w:t>
            </w:r>
          </w:p>
        </w:tc>
        <w:tc>
          <w:tcPr>
            <w:tcW w:type="dxa" w:w="2880"/>
          </w:tcPr>
          <w:p>
            <w:r>
              <w:t>—</w:t>
            </w:r>
          </w:p>
        </w:tc>
        <w:tc>
          <w:tcPr>
            <w:tcW w:type="dxa" w:w="2880"/>
          </w:tcPr>
          <w:p>
            <w:r>
              <w:t>—</w:t>
            </w:r>
          </w:p>
        </w:tc>
      </w:tr>
      <w:tr>
        <w:tc>
          <w:tcPr>
            <w:tcW w:type="dxa" w:w="2880"/>
          </w:tcPr>
          <w:p>
            <w:r>
              <w:t>Trade debtors</w:t>
            </w:r>
          </w:p>
        </w:tc>
        <w:tc>
          <w:tcPr>
            <w:tcW w:type="dxa" w:w="2880"/>
          </w:tcPr>
          <w:p>
            <w:r>
              <w:t>245,800</w:t>
            </w:r>
          </w:p>
        </w:tc>
        <w:tc>
          <w:tcPr>
            <w:tcW w:type="dxa" w:w="2880"/>
          </w:tcPr>
          <w:p>
            <w:r>
              <w:t>225,000</w:t>
            </w:r>
          </w:p>
        </w:tc>
      </w:tr>
      <w:tr>
        <w:tc>
          <w:tcPr>
            <w:tcW w:type="dxa" w:w="2880"/>
          </w:tcPr>
          <w:p>
            <w:r>
              <w:t>Other debtors</w:t>
            </w:r>
          </w:p>
        </w:tc>
        <w:tc>
          <w:tcPr>
            <w:tcW w:type="dxa" w:w="2880"/>
          </w:tcPr>
          <w:p>
            <w:r>
              <w:t>21,600</w:t>
            </w:r>
          </w:p>
        </w:tc>
        <w:tc>
          <w:tcPr>
            <w:tcW w:type="dxa" w:w="2880"/>
          </w:tcPr>
          <w:p>
            <w:r>
              <w:t>15,500</w:t>
            </w:r>
          </w:p>
        </w:tc>
      </w:tr>
      <w:tr>
        <w:tc>
          <w:tcPr>
            <w:tcW w:type="dxa" w:w="2880"/>
          </w:tcPr>
          <w:p>
            <w:r>
              <w:t>Cash at bank and in hand</w:t>
            </w:r>
          </w:p>
        </w:tc>
        <w:tc>
          <w:tcPr>
            <w:tcW w:type="dxa" w:w="2880"/>
          </w:tcPr>
          <w:p>
            <w:r>
              <w:t>284,912</w:t>
            </w:r>
          </w:p>
        </w:tc>
        <w:tc>
          <w:tcPr>
            <w:tcW w:type="dxa" w:w="2880"/>
          </w:tcPr>
          <w:p>
            <w:r>
              <w:t>176,262</w:t>
            </w:r>
          </w:p>
        </w:tc>
      </w:tr>
      <w:tr>
        <w:tc>
          <w:tcPr>
            <w:tcW w:type="dxa" w:w="2880"/>
          </w:tcPr>
          <w:p>
            <w:r>
              <w:t>Total current assets</w:t>
            </w:r>
          </w:p>
        </w:tc>
        <w:tc>
          <w:tcPr>
            <w:tcW w:type="dxa" w:w="2880"/>
          </w:tcPr>
          <w:p>
            <w:r>
              <w:t>552,312</w:t>
            </w:r>
          </w:p>
        </w:tc>
        <w:tc>
          <w:tcPr>
            <w:tcW w:type="dxa" w:w="2880"/>
          </w:tcPr>
          <w:p>
            <w:r>
              <w:t>416,762</w:t>
            </w:r>
          </w:p>
        </w:tc>
      </w:tr>
      <w:tr>
        <w:tc>
          <w:tcPr>
            <w:tcW w:type="dxa" w:w="2880"/>
          </w:tcPr>
          <w:p>
            <w:r>
              <w:t>Creditors: amounts falling due within one year</w:t>
            </w:r>
          </w:p>
        </w:tc>
        <w:tc>
          <w:tcPr>
            <w:tcW w:type="dxa" w:w="2880"/>
          </w:tcPr>
          <w:p>
            <w:r>
              <w:t>(110,500)</w:t>
            </w:r>
          </w:p>
        </w:tc>
        <w:tc>
          <w:tcPr>
            <w:tcW w:type="dxa" w:w="2880"/>
          </w:tcPr>
          <w:p>
            <w:r>
              <w:t>(71,000)</w:t>
            </w:r>
          </w:p>
        </w:tc>
      </w:tr>
      <w:tr>
        <w:tc>
          <w:tcPr>
            <w:tcW w:type="dxa" w:w="2880"/>
          </w:tcPr>
          <w:p>
            <w:r>
              <w:t>Net current assets</w:t>
            </w:r>
          </w:p>
        </w:tc>
        <w:tc>
          <w:tcPr>
            <w:tcW w:type="dxa" w:w="2880"/>
          </w:tcPr>
          <w:p>
            <w:r>
              <w:t>441,812</w:t>
            </w:r>
          </w:p>
        </w:tc>
        <w:tc>
          <w:tcPr>
            <w:tcW w:type="dxa" w:w="2880"/>
          </w:tcPr>
          <w:p>
            <w:r>
              <w:t>345,762</w:t>
            </w:r>
          </w:p>
        </w:tc>
      </w:tr>
      <w:tr>
        <w:tc>
          <w:tcPr>
            <w:tcW w:type="dxa" w:w="2880"/>
          </w:tcPr>
          <w:p>
            <w:r>
              <w:t>Total assets less current liabilities</w:t>
            </w:r>
          </w:p>
        </w:tc>
        <w:tc>
          <w:tcPr>
            <w:tcW w:type="dxa" w:w="2880"/>
          </w:tcPr>
          <w:p>
            <w:r>
              <w:t>575,812</w:t>
            </w:r>
          </w:p>
        </w:tc>
        <w:tc>
          <w:tcPr>
            <w:tcW w:type="dxa" w:w="2880"/>
          </w:tcPr>
          <w:p>
            <w:r>
              <w:t>457,162</w:t>
            </w:r>
          </w:p>
        </w:tc>
      </w:tr>
      <w:tr>
        <w:tc>
          <w:tcPr>
            <w:tcW w:type="dxa" w:w="2880"/>
          </w:tcPr>
          <w:p>
            <w:r>
              <w:t>Lease liabilities</w:t>
            </w:r>
          </w:p>
        </w:tc>
        <w:tc>
          <w:tcPr>
            <w:tcW w:type="dxa" w:w="2880"/>
          </w:tcPr>
          <w:p>
            <w:r>
              <w:t>—</w:t>
            </w:r>
          </w:p>
        </w:tc>
        <w:tc>
          <w:tcPr>
            <w:tcW w:type="dxa" w:w="2880"/>
          </w:tcPr>
          <w:p>
            <w:r>
              <w:t>—</w:t>
            </w:r>
          </w:p>
        </w:tc>
      </w:tr>
      <w:tr>
        <w:tc>
          <w:tcPr>
            <w:tcW w:type="dxa" w:w="2880"/>
          </w:tcPr>
          <w:p>
            <w:r>
              <w:t>Creditors: amounts falling due after more than one year</w:t>
            </w:r>
          </w:p>
        </w:tc>
        <w:tc>
          <w:tcPr>
            <w:tcW w:type="dxa" w:w="2880"/>
          </w:tcPr>
          <w:p>
            <w:r>
              <w:t>(120,000)</w:t>
            </w:r>
          </w:p>
        </w:tc>
        <w:tc>
          <w:tcPr>
            <w:tcW w:type="dxa" w:w="2880"/>
          </w:tcPr>
          <w:p>
            <w:r>
              <w:t>(135,000)</w:t>
            </w:r>
          </w:p>
        </w:tc>
      </w:tr>
      <w:tr>
        <w:tc>
          <w:tcPr>
            <w:tcW w:type="dxa" w:w="2880"/>
          </w:tcPr>
          <w:p>
            <w:r>
              <w:t>Net assets</w:t>
            </w:r>
          </w:p>
        </w:tc>
        <w:tc>
          <w:tcPr>
            <w:tcW w:type="dxa" w:w="2880"/>
          </w:tcPr>
          <w:p>
            <w:r>
              <w:t>455,812</w:t>
            </w:r>
          </w:p>
        </w:tc>
        <w:tc>
          <w:tcPr>
            <w:tcW w:type="dxa" w:w="2880"/>
          </w:tcPr>
          <w:p>
            <w:r>
              <w:t>322,162</w:t>
            </w:r>
          </w:p>
        </w:tc>
      </w:tr>
      <w:tr>
        <w:tc>
          <w:tcPr>
            <w:tcW w:type="dxa" w:w="2880"/>
          </w:tcPr>
          <w:p>
            <w:r>
              <w:t>Called up share capital</w:t>
            </w:r>
          </w:p>
        </w:tc>
        <w:tc>
          <w:tcPr>
            <w:tcW w:type="dxa" w:w="2880"/>
          </w:tcPr>
          <w:p>
            <w:r>
              <w:t>100</w:t>
            </w:r>
          </w:p>
        </w:tc>
        <w:tc>
          <w:tcPr>
            <w:tcW w:type="dxa" w:w="2880"/>
          </w:tcPr>
          <w:p>
            <w:r>
              <w:t>100</w:t>
            </w:r>
          </w:p>
        </w:tc>
      </w:tr>
      <w:tr>
        <w:tc>
          <w:tcPr>
            <w:tcW w:type="dxa" w:w="2880"/>
          </w:tcPr>
          <w:p>
            <w:r>
              <w:t>Profit and loss account</w:t>
            </w:r>
          </w:p>
        </w:tc>
        <w:tc>
          <w:tcPr>
            <w:tcW w:type="dxa" w:w="2880"/>
          </w:tcPr>
          <w:p>
            <w:r>
              <w:t>455,712</w:t>
            </w:r>
          </w:p>
        </w:tc>
        <w:tc>
          <w:tcPr>
            <w:tcW w:type="dxa" w:w="2880"/>
          </w:tcPr>
          <w:p>
            <w:r>
              <w:t>322,062</w:t>
            </w:r>
          </w:p>
        </w:tc>
      </w:tr>
      <w:tr>
        <w:tc>
          <w:tcPr>
            <w:tcW w:type="dxa" w:w="2880"/>
          </w:tcPr>
          <w:p>
            <w:r>
              <w:t>Total equity</w:t>
            </w:r>
          </w:p>
        </w:tc>
        <w:tc>
          <w:tcPr>
            <w:tcW w:type="dxa" w:w="2880"/>
          </w:tcPr>
          <w:p>
            <w:r>
              <w:t>455,812</w:t>
            </w:r>
          </w:p>
        </w:tc>
        <w:tc>
          <w:tcPr>
            <w:tcW w:type="dxa" w:w="2880"/>
          </w:tcPr>
          <w:p>
            <w:r>
              <w:t>322,162</w:t>
            </w:r>
          </w:p>
        </w:tc>
      </w:tr>
    </w:tbl>
    <w:p/>
    <w:p>
      <w:pPr>
        <w:pStyle w:val="Heading2"/>
      </w:pPr>
      <w:r>
        <w:rPr>
          <w:color w:val="1F6F3B"/>
        </w:rPr>
        <w:t>7.5 Reconciliation expectations (executed)</w:t>
      </w:r>
    </w:p>
    <w:tbl>
      <w:tblPr>
        <w:tblStyle w:val="LightGrid-Accent6"/>
        <w:tblW w:type="auto" w:w="0"/>
        <w:tblLook w:firstColumn="1" w:firstRow="1" w:lastColumn="0" w:lastRow="0" w:noHBand="0" w:noVBand="1" w:val="04A0"/>
      </w:tblPr>
      <w:tblGrid>
        <w:gridCol w:w="4320"/>
        <w:gridCol w:w="4320"/>
      </w:tblGrid>
      <w:tr>
        <w:tc>
          <w:tcPr>
            <w:tcW w:type="dxa" w:w="4320"/>
          </w:tcPr>
          <w:p>
            <w:r>
              <w:rPr>
                <w:b/>
              </w:rPr>
              <w:t>Check</w:t>
            </w:r>
          </w:p>
        </w:tc>
        <w:tc>
          <w:tcPr>
            <w:tcW w:type="dxa" w:w="4320"/>
          </w:tcPr>
          <w:p>
            <w:r>
              <w:rPr>
                <w:b/>
              </w:rPr>
              <w:t>Result</w:t>
            </w:r>
          </w:p>
        </w:tc>
      </w:tr>
      <w:tr>
        <w:tc>
          <w:tcPr>
            <w:tcW w:type="dxa" w:w="4320"/>
          </w:tcPr>
          <w:p>
            <w:r>
              <w:t>1. TB integrity</w:t>
            </w:r>
          </w:p>
        </w:tc>
        <w:tc>
          <w:tcPr>
            <w:tcW w:type="dxa" w:w="4320"/>
          </w:tcPr>
          <w:p>
            <w:r>
              <w:t>PASS — €3,051,162 = €3,051,162</w:t>
            </w:r>
          </w:p>
        </w:tc>
      </w:tr>
      <w:tr>
        <w:tc>
          <w:tcPr>
            <w:tcW w:type="dxa" w:w="4320"/>
          </w:tcPr>
          <w:p>
            <w:r>
              <w:t>2. BS balances</w:t>
            </w:r>
          </w:p>
        </w:tc>
        <w:tc>
          <w:tcPr>
            <w:tcW w:type="dxa" w:w="4320"/>
          </w:tcPr>
          <w:p>
            <w:r>
              <w:t>PASS — €455,812 = €455,812; totals €686,312 consumed</w:t>
            </w:r>
          </w:p>
        </w:tc>
      </w:tr>
      <w:tr>
        <w:tc>
          <w:tcPr>
            <w:tcW w:type="dxa" w:w="4320"/>
          </w:tcPr>
          <w:p>
            <w:r>
              <w:t>3. FA roll-forward</w:t>
            </w:r>
          </w:p>
        </w:tc>
        <w:tc>
          <w:tcPr>
            <w:tcW w:type="dxa" w:w="4320"/>
          </w:tcPr>
          <w:p>
            <w:r>
              <w:t>PASS — €111,400 + €45,000 − €22,400 = €134,000</w:t>
            </w:r>
          </w:p>
        </w:tc>
      </w:tr>
      <w:tr>
        <w:tc>
          <w:tcPr>
            <w:tcW w:type="dxa" w:w="4320"/>
          </w:tcPr>
          <w:p>
            <w:r>
              <w:t>4. RE roll-forward</w:t>
            </w:r>
          </w:p>
        </w:tc>
        <w:tc>
          <w:tcPr>
            <w:tcW w:type="dxa" w:w="4320"/>
          </w:tcPr>
          <w:p>
            <w:r>
              <w:t>PASS — €322,062 + €157,650 − €24,000 = €455,712</w:t>
            </w:r>
          </w:p>
        </w:tc>
      </w:tr>
      <w:tr>
        <w:tc>
          <w:tcPr>
            <w:tcW w:type="dxa" w:w="4320"/>
          </w:tcPr>
          <w:p>
            <w:r>
              <w:t>5. Bank rec</w:t>
            </w:r>
          </w:p>
        </w:tc>
        <w:tc>
          <w:tcPr>
            <w:tcW w:type="dxa" w:w="4320"/>
          </w:tcPr>
          <w:p>
            <w:r>
              <w:t>PASS</w:t>
            </w:r>
          </w:p>
        </w:tc>
      </w:tr>
      <w:tr>
        <w:tc>
          <w:tcPr>
            <w:tcW w:type="dxa" w:w="4320"/>
          </w:tcPr>
          <w:p>
            <w:r>
              <w:t>6. Comparatives</w:t>
            </w:r>
          </w:p>
        </w:tc>
        <w:tc>
          <w:tcPr>
            <w:tcW w:type="dxa" w:w="4320"/>
          </w:tcPr>
          <w:p>
            <w:r>
              <w:t>PASS — rendered == validated</w:t>
            </w:r>
          </w:p>
        </w:tc>
      </w:tr>
      <w:tr>
        <w:tc>
          <w:tcPr>
            <w:tcW w:type="dxa" w:w="4320"/>
          </w:tcPr>
          <w:p>
            <w:r>
              <w:t>7. Structural</w:t>
            </w:r>
          </w:p>
        </w:tc>
        <w:tc>
          <w:tcPr>
            <w:tcW w:type="dxa" w:w="4320"/>
          </w:tcPr>
          <w:p>
            <w:r>
              <w:t>PASS</w:t>
            </w:r>
          </w:p>
        </w:tc>
      </w:tr>
      <w:tr>
        <w:tc>
          <w:tcPr>
            <w:tcW w:type="dxa" w:w="4320"/>
          </w:tcPr>
          <w:p>
            <w:r>
              <w:t>8. Review rules</w:t>
            </w:r>
          </w:p>
        </w:tc>
        <w:tc>
          <w:tcPr>
            <w:tcW w:type="dxa" w:w="4320"/>
          </w:tcPr>
          <w:p>
            <w:r>
              <w:t>PASS — none fire on clean fixture</w:t>
            </w:r>
          </w:p>
        </w:tc>
      </w:tr>
      <w:tr>
        <w:tc>
          <w:tcPr>
            <w:tcW w:type="dxa" w:w="4320"/>
          </w:tcPr>
          <w:p>
            <w:r>
              <w:t>9. Consumed lines</w:t>
            </w:r>
          </w:p>
        </w:tc>
        <w:tc>
          <w:tcPr>
            <w:tcW w:type="dxa" w:w="4320"/>
          </w:tcPr>
          <w:p>
            <w:r>
              <w:t>PASS — every mapped line presented</w:t>
            </w:r>
          </w:p>
        </w:tc>
      </w:tr>
      <w:tr>
        <w:tc>
          <w:tcPr>
            <w:tcW w:type="dxa" w:w="4320"/>
          </w:tcPr>
          <w:p>
            <w:r>
              <w:t>10. Prior-year gate</w:t>
            </w:r>
          </w:p>
        </w:tc>
        <w:tc>
          <w:tcPr>
            <w:tcW w:type="dxa" w:w="4320"/>
          </w:tcPr>
          <w:p>
            <w:r>
              <w:t>PASS — BLOCKED before confirmation</w:t>
            </w:r>
          </w:p>
        </w:tc>
      </w:tr>
    </w:tbl>
    <w:p/>
    <w:p>
      <w:pPr>
        <w:pStyle w:val="Heading2"/>
      </w:pPr>
      <w:r>
        <w:rPr>
          <w:color w:val="1F6F3B"/>
        </w:rPr>
        <w:t>7.6 Note 2 fixed-asset movement grid</w:t>
      </w:r>
    </w:p>
    <w:tbl>
      <w:tblPr>
        <w:tblStyle w:val="LightGrid-Accent6"/>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Plant €</w:t>
            </w:r>
          </w:p>
        </w:tc>
        <w:tc>
          <w:tcPr>
            <w:tcW w:type="dxa" w:w="2160"/>
          </w:tcPr>
          <w:p>
            <w:r>
              <w:rPr>
                <w:b/>
              </w:rPr>
              <w:t>Motor €</w:t>
            </w:r>
          </w:p>
        </w:tc>
        <w:tc>
          <w:tcPr>
            <w:tcW w:type="dxa" w:w="2160"/>
          </w:tcPr>
          <w:p>
            <w:r>
              <w:rPr>
                <w:b/>
              </w:rPr>
              <w:t>Total €</w:t>
            </w:r>
          </w:p>
        </w:tc>
      </w:tr>
      <w:tr>
        <w:tc>
          <w:tcPr>
            <w:tcW w:type="dxa" w:w="2160"/>
          </w:tcPr>
          <w:p>
            <w:r>
              <w:t>Cost at 1 Jan 2026</w:t>
            </w:r>
          </w:p>
        </w:tc>
        <w:tc>
          <w:tcPr>
            <w:tcW w:type="dxa" w:w="2160"/>
          </w:tcPr>
          <w:p>
            <w:r>
              <w:t>120,000</w:t>
            </w:r>
          </w:p>
        </w:tc>
        <w:tc>
          <w:tcPr>
            <w:tcW w:type="dxa" w:w="2160"/>
          </w:tcPr>
          <w:p>
            <w:r>
              <w:t>45,000</w:t>
            </w:r>
          </w:p>
        </w:tc>
        <w:tc>
          <w:tcPr>
            <w:tcW w:type="dxa" w:w="2160"/>
          </w:tcPr>
          <w:p>
            <w:r>
              <w:t>165,000</w:t>
            </w:r>
          </w:p>
        </w:tc>
      </w:tr>
      <w:tr>
        <w:tc>
          <w:tcPr>
            <w:tcW w:type="dxa" w:w="2160"/>
          </w:tcPr>
          <w:p>
            <w:r>
              <w:t>Additions</w:t>
            </w:r>
          </w:p>
        </w:tc>
        <w:tc>
          <w:tcPr>
            <w:tcW w:type="dxa" w:w="2160"/>
          </w:tcPr>
          <w:p>
            <w:r>
              <w:t>30,000</w:t>
            </w:r>
          </w:p>
        </w:tc>
        <w:tc>
          <w:tcPr>
            <w:tcW w:type="dxa" w:w="2160"/>
          </w:tcPr>
          <w:p>
            <w:r>
              <w:t>15,000</w:t>
            </w:r>
          </w:p>
        </w:tc>
        <w:tc>
          <w:tcPr>
            <w:tcW w:type="dxa" w:w="2160"/>
          </w:tcPr>
          <w:p>
            <w:r>
              <w:t>45,000</w:t>
            </w:r>
          </w:p>
        </w:tc>
      </w:tr>
      <w:tr>
        <w:tc>
          <w:tcPr>
            <w:tcW w:type="dxa" w:w="2160"/>
          </w:tcPr>
          <w:p>
            <w:r>
              <w:t>Disposals</w:t>
            </w:r>
          </w:p>
        </w:tc>
        <w:tc>
          <w:tcPr>
            <w:tcW w:type="dxa" w:w="2160"/>
          </w:tcPr>
          <w:p>
            <w:r>
              <w:t>—</w:t>
            </w:r>
          </w:p>
        </w:tc>
        <w:tc>
          <w:tcPr>
            <w:tcW w:type="dxa" w:w="2160"/>
          </w:tcPr>
          <w:p>
            <w:r>
              <w:t>—</w:t>
            </w:r>
          </w:p>
        </w:tc>
        <w:tc>
          <w:tcPr>
            <w:tcW w:type="dxa" w:w="2160"/>
          </w:tcPr>
          <w:p>
            <w:r>
              <w:t>—</w:t>
            </w:r>
          </w:p>
        </w:tc>
      </w:tr>
      <w:tr>
        <w:tc>
          <w:tcPr>
            <w:tcW w:type="dxa" w:w="2160"/>
          </w:tcPr>
          <w:p>
            <w:r>
              <w:t>Cost at 31 Dec 2026</w:t>
            </w:r>
          </w:p>
        </w:tc>
        <w:tc>
          <w:tcPr>
            <w:tcW w:type="dxa" w:w="2160"/>
          </w:tcPr>
          <w:p>
            <w:r>
              <w:t>150,000</w:t>
            </w:r>
          </w:p>
        </w:tc>
        <w:tc>
          <w:tcPr>
            <w:tcW w:type="dxa" w:w="2160"/>
          </w:tcPr>
          <w:p>
            <w:r>
              <w:t>60,000</w:t>
            </w:r>
          </w:p>
        </w:tc>
        <w:tc>
          <w:tcPr>
            <w:tcW w:type="dxa" w:w="2160"/>
          </w:tcPr>
          <w:p>
            <w:r>
              <w:t>210,000</w:t>
            </w:r>
          </w:p>
        </w:tc>
      </w:tr>
      <w:tr>
        <w:tc>
          <w:tcPr>
            <w:tcW w:type="dxa" w:w="2160"/>
          </w:tcPr>
          <w:p>
            <w:r>
              <w:t>Depreciation at 1 Jan 2026</w:t>
            </w:r>
          </w:p>
        </w:tc>
        <w:tc>
          <w:tcPr>
            <w:tcW w:type="dxa" w:w="2160"/>
          </w:tcPr>
          <w:p>
            <w:r>
              <w:t>35,600</w:t>
            </w:r>
          </w:p>
        </w:tc>
        <w:tc>
          <w:tcPr>
            <w:tcW w:type="dxa" w:w="2160"/>
          </w:tcPr>
          <w:p>
            <w:r>
              <w:t>18,000</w:t>
            </w:r>
          </w:p>
        </w:tc>
        <w:tc>
          <w:tcPr>
            <w:tcW w:type="dxa" w:w="2160"/>
          </w:tcPr>
          <w:p>
            <w:r>
              <w:t>53,600</w:t>
            </w:r>
          </w:p>
        </w:tc>
      </w:tr>
      <w:tr>
        <w:tc>
          <w:tcPr>
            <w:tcW w:type="dxa" w:w="2160"/>
          </w:tcPr>
          <w:p>
            <w:r>
              <w:t>Charge for the year</w:t>
            </w:r>
          </w:p>
        </w:tc>
        <w:tc>
          <w:tcPr>
            <w:tcW w:type="dxa" w:w="2160"/>
          </w:tcPr>
          <w:p>
            <w:r>
              <w:t>16,400</w:t>
            </w:r>
          </w:p>
        </w:tc>
        <w:tc>
          <w:tcPr>
            <w:tcW w:type="dxa" w:w="2160"/>
          </w:tcPr>
          <w:p>
            <w:r>
              <w:t>6,000</w:t>
            </w:r>
          </w:p>
        </w:tc>
        <w:tc>
          <w:tcPr>
            <w:tcW w:type="dxa" w:w="2160"/>
          </w:tcPr>
          <w:p>
            <w:r>
              <w:t>22,400</w:t>
            </w:r>
          </w:p>
        </w:tc>
      </w:tr>
      <w:tr>
        <w:tc>
          <w:tcPr>
            <w:tcW w:type="dxa" w:w="2160"/>
          </w:tcPr>
          <w:p>
            <w:r>
              <w:t>Depreciation at 31 Dec 2026</w:t>
            </w:r>
          </w:p>
        </w:tc>
        <w:tc>
          <w:tcPr>
            <w:tcW w:type="dxa" w:w="2160"/>
          </w:tcPr>
          <w:p>
            <w:r>
              <w:t>52,000</w:t>
            </w:r>
          </w:p>
        </w:tc>
        <w:tc>
          <w:tcPr>
            <w:tcW w:type="dxa" w:w="2160"/>
          </w:tcPr>
          <w:p>
            <w:r>
              <w:t>24,000</w:t>
            </w:r>
          </w:p>
        </w:tc>
        <w:tc>
          <w:tcPr>
            <w:tcW w:type="dxa" w:w="2160"/>
          </w:tcPr>
          <w:p>
            <w:r>
              <w:t>76,000</w:t>
            </w:r>
          </w:p>
        </w:tc>
      </w:tr>
      <w:tr>
        <w:tc>
          <w:tcPr>
            <w:tcW w:type="dxa" w:w="2160"/>
          </w:tcPr>
          <w:p>
            <w:r>
              <w:t>NBV at 31 Dec 2026</w:t>
            </w:r>
          </w:p>
        </w:tc>
        <w:tc>
          <w:tcPr>
            <w:tcW w:type="dxa" w:w="2160"/>
          </w:tcPr>
          <w:p>
            <w:r>
              <w:t>98,000</w:t>
            </w:r>
          </w:p>
        </w:tc>
        <w:tc>
          <w:tcPr>
            <w:tcW w:type="dxa" w:w="2160"/>
          </w:tcPr>
          <w:p>
            <w:r>
              <w:t>36,000</w:t>
            </w:r>
          </w:p>
        </w:tc>
        <w:tc>
          <w:tcPr>
            <w:tcW w:type="dxa" w:w="2160"/>
          </w:tcPr>
          <w:p>
            <w:r>
              <w:t>134,000</w:t>
            </w:r>
          </w:p>
        </w:tc>
      </w:tr>
      <w:tr>
        <w:tc>
          <w:tcPr>
            <w:tcW w:type="dxa" w:w="2160"/>
          </w:tcPr>
          <w:p>
            <w:r>
              <w:t>NBV at 31 Dec 2025</w:t>
            </w:r>
          </w:p>
        </w:tc>
        <w:tc>
          <w:tcPr>
            <w:tcW w:type="dxa" w:w="2160"/>
          </w:tcPr>
          <w:p>
            <w:r>
              <w:t>84,400</w:t>
            </w:r>
          </w:p>
        </w:tc>
        <w:tc>
          <w:tcPr>
            <w:tcW w:type="dxa" w:w="2160"/>
          </w:tcPr>
          <w:p>
            <w:r>
              <w:t>27,000</w:t>
            </w:r>
          </w:p>
        </w:tc>
        <w:tc>
          <w:tcPr>
            <w:tcW w:type="dxa" w:w="2160"/>
          </w:tcPr>
          <w:p>
            <w:r>
              <w:t>111,400</w:t>
            </w:r>
          </w:p>
        </w:tc>
      </w:tr>
    </w:tbl>
    <w:p/>
    <w:p>
      <w:pPr>
        <w:pStyle w:val="Heading2"/>
      </w:pPr>
      <w:r>
        <w:rPr>
          <w:color w:val="1F6F3B"/>
        </w:rPr>
        <w:t>7.7 Engineered rounding case (A3)</w:t>
      </w:r>
    </w:p>
    <w:p>
      <w:pPr>
        <w:pStyle w:val="ListBullet"/>
      </w:pPr>
      <w:r>
        <w:t>Gap €1,000 at ’000 scaling; failing allocation persists; clearing allocation clears — test-encoded.</w:t>
      </w:r>
    </w:p>
    <w:p>
      <w:pPr>
        <w:pStyle w:val="ListBullet"/>
      </w:pPr>
      <w:r>
        <w:t>LIMITATION (§14): posting to a real balance line is presentation-wrong; nearest-euro rounding is the common case.</w:t>
      </w:r>
    </w:p>
    <w:p>
      <w:pPr>
        <w:pStyle w:val="Heading2"/>
      </w:pPr>
      <w:r>
        <w:rPr>
          <w:color w:val="1F6F3B"/>
        </w:rPr>
        <w:t>7.8 Review-rule doctored rows (executed — tests/test_golden.py and tests/test_doctored_rows.py)</w:t>
      </w:r>
    </w:p>
    <w:tbl>
      <w:tblPr>
        <w:tblStyle w:val="LightGrid-Accent6"/>
        <w:tblW w:type="auto" w:w="0"/>
        <w:tblLook w:firstColumn="1" w:firstRow="1" w:lastColumn="0" w:lastRow="0" w:noHBand="0" w:noVBand="1" w:val="04A0"/>
      </w:tblPr>
      <w:tblGrid>
        <w:gridCol w:w="2880"/>
        <w:gridCol w:w="2880"/>
        <w:gridCol w:w="2880"/>
      </w:tblGrid>
      <w:tr>
        <w:tc>
          <w:tcPr>
            <w:tcW w:type="dxa" w:w="2880"/>
          </w:tcPr>
          <w:p>
            <w:r>
              <w:rPr>
                <w:b/>
              </w:rPr>
              <w:t>Rule</w:t>
            </w:r>
          </w:p>
        </w:tc>
        <w:tc>
          <w:tcPr>
            <w:tcW w:type="dxa" w:w="2880"/>
          </w:tcPr>
          <w:p>
            <w:r>
              <w:rPr>
                <w:b/>
              </w:rPr>
              <w:t>Doctored input</w:t>
            </w:r>
          </w:p>
        </w:tc>
        <w:tc>
          <w:tcPr>
            <w:tcW w:type="dxa" w:w="2880"/>
          </w:tcPr>
          <w:p>
            <w:r>
              <w:rPr>
                <w:b/>
              </w:rPr>
              <w:t>Expected</w:t>
            </w:r>
          </w:p>
        </w:tc>
      </w:tr>
      <w:tr>
        <w:tc>
          <w:tcPr>
            <w:tcW w:type="dxa" w:w="2880"/>
          </w:tcPr>
          <w:p>
            <w:r>
              <w:t>Negative Expense</w:t>
            </w:r>
          </w:p>
        </w:tc>
        <w:tc>
          <w:tcPr>
            <w:tcW w:type="dxa" w:w="2880"/>
          </w:tcPr>
          <w:p>
            <w:r>
              <w:t>Administrative expenses line nets to −€3,200 (rules run on aggregated lines — see §14 limitation 8)</w:t>
            </w:r>
          </w:p>
        </w:tc>
        <w:tc>
          <w:tcPr>
            <w:tcW w:type="dxa" w:w="2880"/>
          </w:tcPr>
          <w:p>
            <w:r>
              <w:t>WARNING</w:t>
            </w:r>
          </w:p>
        </w:tc>
      </w:tr>
      <w:tr>
        <w:tc>
          <w:tcPr>
            <w:tcW w:type="dxa" w:w="2880"/>
          </w:tcPr>
          <w:p>
            <w:r>
              <w:t>Round Number</w:t>
            </w:r>
          </w:p>
        </w:tc>
        <w:tc>
          <w:tcPr>
            <w:tcW w:type="dxa" w:w="2880"/>
          </w:tcPr>
          <w:p>
            <w:r>
              <w:t>Administrative expenses line = €50,000 (aggregated-line scope)</w:t>
            </w:r>
          </w:p>
        </w:tc>
        <w:tc>
          <w:tcPr>
            <w:tcW w:type="dxa" w:w="2880"/>
          </w:tcPr>
          <w:p>
            <w:r>
              <w:t>WARNING</w:t>
            </w:r>
          </w:p>
        </w:tc>
      </w:tr>
      <w:tr>
        <w:tc>
          <w:tcPr>
            <w:tcW w:type="dxa" w:w="2880"/>
          </w:tcPr>
          <w:p>
            <w:r>
              <w:t>Large Director Txn</w:t>
            </w:r>
          </w:p>
        </w:tc>
        <w:tc>
          <w:tcPr>
            <w:tcW w:type="dxa" w:w="2880"/>
          </w:tcPr>
          <w:p>
            <w:r>
              <w:t>Other creditors −€7,800, description “Director loan account”</w:t>
            </w:r>
          </w:p>
        </w:tc>
        <w:tc>
          <w:tcPr>
            <w:tcW w:type="dxa" w:w="2880"/>
          </w:tcPr>
          <w:p>
            <w:r>
              <w:t>WARNING</w:t>
            </w:r>
          </w:p>
        </w:tc>
      </w:tr>
      <w:tr>
        <w:tc>
          <w:tcPr>
            <w:tcW w:type="dxa" w:w="2880"/>
          </w:tcPr>
          <w:p>
            <w:r>
              <w:t>Missing Depreciation</w:t>
            </w:r>
          </w:p>
        </w:tc>
        <w:tc>
          <w:tcPr>
            <w:tcW w:type="dxa" w:w="2880"/>
          </w:tcPr>
          <w:p>
            <w:r>
              <w:t>Zero dep charge, FA NBV ≠ 0</w:t>
            </w:r>
          </w:p>
        </w:tc>
        <w:tc>
          <w:tcPr>
            <w:tcW w:type="dxa" w:w="2880"/>
          </w:tcPr>
          <w:p>
            <w:r>
              <w:t>WARNING (sign-correct)</w:t>
            </w:r>
          </w:p>
        </w:tc>
      </w:tr>
      <w:tr>
        <w:tc>
          <w:tcPr>
            <w:tcW w:type="dxa" w:w="2880"/>
          </w:tcPr>
          <w:p>
            <w:r>
              <w:t>Dividends Without Profit</w:t>
            </w:r>
          </w:p>
        </w:tc>
        <w:tc>
          <w:tcPr>
            <w:tcW w:type="dxa" w:w="2880"/>
          </w:tcPr>
          <w:p>
            <w:r>
              <w:t>Revenue credit €1.2m, dividends €24k</w:t>
            </w:r>
          </w:p>
        </w:tc>
        <w:tc>
          <w:tcPr>
            <w:tcW w:type="dxa" w:w="2880"/>
          </w:tcPr>
          <w:p>
            <w:r>
              <w:t>CRITICAL (s.117 proxy, exact rule)</w:t>
            </w:r>
          </w:p>
        </w:tc>
      </w:tr>
      <w:tr>
        <w:tc>
          <w:tcPr>
            <w:tcW w:type="dxa" w:w="2880"/>
          </w:tcPr>
          <w:p>
            <w:r>
              <w:t>Dividends Exactly At Limit</w:t>
            </w:r>
          </w:p>
        </w:tc>
        <w:tc>
          <w:tcPr>
            <w:tcW w:type="dxa" w:w="2880"/>
          </w:tcPr>
          <w:p>
            <w:r>
              <w:t>Dividends == opening RE + profit</w:t>
            </w:r>
          </w:p>
        </w:tc>
        <w:tc>
          <w:tcPr>
            <w:tcW w:type="dxa" w:w="2880"/>
          </w:tcPr>
          <w:p>
            <w:r>
              <w:t>No CRITICAL (exactly equal is lawful)</w:t>
            </w:r>
          </w:p>
        </w:tc>
      </w:tr>
    </w:tbl>
    <w:p/>
    <w:p>
      <w:r>
        <w:br w:type="page"/>
      </w:r>
    </w:p>
    <w:p>
      <w:pPr>
        <w:pStyle w:val="Heading2"/>
      </w:pPr>
      <w:r>
        <w:t>7.9 Fixture #2 — messy Irish chart (Step-0, v6.8)</w:t>
      </w:r>
    </w:p>
    <w:p>
      <w:r>
        <w:t>A second golden fixture drawn from a real Irish chart: bank current account €40,000; Director's current account €50,000 debit (maps DIRECTOR_LOAN → sign-home reclass to OTHER_DEBTORS — an overdrawn director's loan must never present as negative creditors); fixtures &amp; fittings €12,000; VAT control €21,500 credit (→ VAT_CREDITOR); PAYE/PRSI €8,300 credit (→ PAYE_PRSI_CREDITOR); share capital €100; retained earnings b/f €72,100. Expected: Other debtors €50,000; creditors &lt;1yr €(29,800); tangible assets €12,000; net assets €72,200 = equity; consumed-lines assertion passes.</w:t>
      </w:r>
    </w:p>
    <w:p>
      <w:pPr>
        <w:pStyle w:val="Heading1"/>
      </w:pPr>
      <w:r>
        <w:rPr>
          <w:color w:val="1F6F3B"/>
        </w:rPr>
        <w:t>8. Test Evidence &amp; How to Re-Verify</w:t>
      </w:r>
    </w:p>
    <w:p>
      <w:r>
        <w:rPr>
          <w:b/>
          <w:i w:val="0"/>
        </w:rPr>
        <w:t>The full suite passes cold from the shipped zip. Run: python -m unittest discover -s tests -t .. Tests are named by the behaviour they check; the current count is recorded in the change log, not here. --- v6.8 additions in test_golden: test_undeclared_predicate_name_raises (disclosures fail closed), test_fixture_two_messy_irish_chart (Step-0 fixture #2), test_chart_v2_keyword_probe (11-name real-chart mapping).</w:t>
      </w:r>
    </w:p>
    <w:p>
      <w:r>
        <w:rPr>
          <w:b w:val="0"/>
          <w:i w:val="0"/>
        </w:rPr>
        <w:t>Every finding from the independent code review was reproduced by execution, fixed, and encoded as a regression test. The six C-probes verified against the shipped tree: C1 lease client articulates; C2 one profit definition; C3 separate intangible line; C4 consumed-lines refusal; C6 float rejection; C7 short-circuit + length cap + containment (a broken pack rule reports CRITICAL and blocks FINAL; reconciliation never aborts).</w:t>
      </w:r>
    </w:p>
    <w:p>
      <w:pPr>
        <w:pStyle w:val="Heading1"/>
      </w:pPr>
      <w:r>
        <w:rPr>
          <w:color w:val="1F6F3B"/>
        </w:rPr>
        <w:t>9. Build Plan (13 weeks to beta + 1 fast-follow)</w:t>
      </w:r>
    </w:p>
    <w:tbl>
      <w:tblPr>
        <w:tblStyle w:val="LightGrid-Accent6"/>
        <w:tblW w:type="auto" w:w="0"/>
        <w:tblLook w:firstColumn="1" w:firstRow="1" w:lastColumn="0" w:lastRow="0" w:noHBand="0" w:noVBand="1" w:val="04A0"/>
      </w:tblPr>
      <w:tblGrid>
        <w:gridCol w:w="2880"/>
        <w:gridCol w:w="2880"/>
        <w:gridCol w:w="2880"/>
      </w:tblGrid>
      <w:tr>
        <w:tc>
          <w:tcPr>
            <w:tcW w:type="dxa" w:w="2880"/>
          </w:tcPr>
          <w:p>
            <w:r>
              <w:rPr>
                <w:b/>
              </w:rPr>
              <w:t>Week</w:t>
            </w:r>
          </w:p>
        </w:tc>
        <w:tc>
          <w:tcPr>
            <w:tcW w:type="dxa" w:w="2880"/>
          </w:tcPr>
          <w:p>
            <w:r>
              <w:rPr>
                <w:b/>
              </w:rPr>
              <w:t>Module</w:t>
            </w:r>
          </w:p>
        </w:tc>
        <w:tc>
          <w:tcPr>
            <w:tcW w:type="dxa" w:w="2880"/>
          </w:tcPr>
          <w:p>
            <w:r>
              <w:rPr>
                <w:b/>
              </w:rPr>
              <w:t>Deliverable</w:t>
            </w:r>
          </w:p>
        </w:tc>
      </w:tr>
      <w:tr>
        <w:tc>
          <w:tcPr>
            <w:tcW w:type="dxa" w:w="2880"/>
          </w:tcPr>
          <w:p>
            <w:r>
              <w:t>1</w:t>
            </w:r>
          </w:p>
        </w:tc>
        <w:tc>
          <w:tcPr>
            <w:tcW w:type="dxa" w:w="2880"/>
          </w:tcPr>
          <w:p>
            <w:r>
              <w:t>Setup + DB</w:t>
            </w:r>
          </w:p>
        </w:tc>
        <w:tc>
          <w:tcPr>
            <w:tcW w:type="dxa" w:w="2880"/>
          </w:tcPr>
          <w:p>
            <w:r>
              <w:t>Models (incl. the client entity record: legal name, CRO number, registered office, directors, secretary, financial year, average employees), scaffold, Docker Compose; SECURITY ACCEPTANCE: RLS SET LOCAL + FORCE ROW LEVEL SECURITY + Celery tenant-context; pack pinning NOT NULL/unique; RLS fails closed (non-owner NOBYPASSRLS role; policies on current_setting('app.tenant_id', true); context set once per transaction from the verified Clerk organisation claim); composite (tenant_id, company_id) foreign keys; engine strict-typing backlog cleared behind the full suite</w:t>
            </w:r>
          </w:p>
        </w:tc>
      </w:tr>
      <w:tr>
        <w:tc>
          <w:tcPr>
            <w:tcW w:type="dxa" w:w="2880"/>
          </w:tcPr>
          <w:p>
            <w:r>
              <w:t>2</w:t>
            </w:r>
          </w:p>
        </w:tc>
        <w:tc>
          <w:tcPr>
            <w:tcW w:type="dxa" w:w="2880"/>
          </w:tcPr>
          <w:p>
            <w:r>
              <w:t>Document upload</w:t>
            </w:r>
          </w:p>
        </w:tc>
        <w:tc>
          <w:tcPr>
            <w:tcW w:type="dxa" w:w="2880"/>
          </w:tcPr>
          <w:p>
            <w:r>
              <w:t>Upload API; object storage (MinIO dev / S3 eu-west-1 prod); 16-type classifier; UPLOAD SECURITY acceptance: size cap, real-type verification, reject .xlsm, zip-bomb guard, per-practice storage</w:t>
            </w:r>
          </w:p>
        </w:tc>
      </w:tr>
      <w:tr>
        <w:tc>
          <w:tcPr>
            <w:tcW w:type="dxa" w:w="2880"/>
          </w:tcPr>
          <w:p>
            <w:r>
              <w:t>3</w:t>
            </w:r>
          </w:p>
        </w:tc>
        <w:tc>
          <w:tcPr>
            <w:tcW w:type="dxa" w:w="2880"/>
          </w:tcPr>
          <w:p>
            <w:r>
              <w:t>TB ingestion + prior-year gate</w:t>
            </w:r>
          </w:p>
        </w:tc>
        <w:tc>
          <w:tcPr>
            <w:tcW w:type="dxa" w:w="2880"/>
          </w:tcPr>
          <w:p>
            <w:r>
              <w:t>Parsers for the beta practices' ledger TB exports (Sage/Xero/QB/BRB); TB VERSIONING (each upload an immutable TB version; drafts record their TB version; re-import creates a new draft version); MANUAL prior-year entry form storing canonical-line balances + first-financial-period path; V-GATE-001 hard gate</w:t>
            </w:r>
          </w:p>
        </w:tc>
      </w:tr>
      <w:tr>
        <w:tc>
          <w:tcPr>
            <w:tcW w:type="dxa" w:w="2880"/>
          </w:tcPr>
          <w:p>
            <w:r>
              <w:t>4</w:t>
            </w:r>
          </w:p>
        </w:tc>
        <w:tc>
          <w:tcPr>
            <w:tcW w:type="dxa" w:w="2880"/>
          </w:tcPr>
          <w:p>
            <w:r>
              <w:t>GL + FA ingestion</w:t>
            </w:r>
          </w:p>
        </w:tc>
        <w:tc>
          <w:tcPr>
            <w:tcW w:type="dxa" w:w="2880"/>
          </w:tcPr>
          <w:p>
            <w:r>
              <w:t>Journal parser; FA parser; excluded-entity eligibility check</w:t>
            </w:r>
          </w:p>
        </w:tc>
      </w:tr>
      <w:tr>
        <w:tc>
          <w:tcPr>
            <w:tcW w:type="dxa" w:w="2880"/>
          </w:tcPr>
          <w:p>
            <w:r>
              <w:t>5</w:t>
            </w:r>
          </w:p>
        </w:tc>
        <w:tc>
          <w:tcPr>
            <w:tcW w:type="dxa" w:w="2880"/>
          </w:tcPr>
          <w:p>
            <w:r>
              <w:t>Mapping engine</w:t>
            </w:r>
          </w:p>
        </w:tc>
        <w:tc>
          <w:tcPr>
            <w:tcW w:type="dxa" w:w="2880"/>
          </w:tcPr>
          <w:p>
            <w:r>
              <w:t>Product 1 owns suggestions (FinDraft exclusions ported + tested); engine/mapping.aggregate() in the production path; canonical-name contract test; review-queue UI</w:t>
            </w:r>
          </w:p>
        </w:tc>
      </w:tr>
      <w:tr>
        <w:tc>
          <w:tcPr>
            <w:tcW w:type="dxa" w:w="2880"/>
          </w:tcPr>
          <w:p>
            <w:r>
              <w:t>6</w:t>
            </w:r>
          </w:p>
        </w:tc>
        <w:tc>
          <w:tcPr>
            <w:tcW w:type="dxa" w:w="2880"/>
          </w:tcPr>
          <w:p>
            <w:r>
              <w:t>Reconciliation v1</w:t>
            </w:r>
          </w:p>
        </w:tc>
        <w:tc>
          <w:tcPr>
            <w:tcW w:type="dxa" w:w="2880"/>
          </w:tcPr>
          <w:p>
            <w:r>
              <w:t>TB/BS/RE; consumed-lines assertion</w:t>
            </w:r>
          </w:p>
        </w:tc>
      </w:tr>
      <w:tr>
        <w:tc>
          <w:tcPr>
            <w:tcW w:type="dxa" w:w="2880"/>
          </w:tcPr>
          <w:p>
            <w:r>
              <w:t>7</w:t>
            </w:r>
          </w:p>
        </w:tc>
        <w:tc>
          <w:tcPr>
            <w:tcW w:type="dxa" w:w="2880"/>
          </w:tcPr>
          <w:p>
            <w:r>
              <w:t>Reconciliation v2</w:t>
            </w:r>
          </w:p>
        </w:tc>
        <w:tc>
          <w:tcPr>
            <w:tcW w:type="dxa" w:w="2880"/>
          </w:tcPr>
          <w:p>
            <w:r>
              <w:t>FA roll-forward, bank rec, comparatives, pack rules (fail closed)</w:t>
            </w:r>
          </w:p>
        </w:tc>
      </w:tr>
      <w:tr>
        <w:tc>
          <w:tcPr>
            <w:tcW w:type="dxa" w:w="2880"/>
          </w:tcPr>
          <w:p>
            <w:r>
              <w:t>8</w:t>
            </w:r>
          </w:p>
        </w:tc>
        <w:tc>
          <w:tcPr>
            <w:tcW w:type="dxa" w:w="2880"/>
          </w:tcPr>
          <w:p>
            <w:r>
              <w:t>Statement generator</w:t>
            </w:r>
          </w:p>
        </w:tc>
        <w:tc>
          <w:tcPr>
            <w:tcW w:type="dxa" w:w="2880"/>
          </w:tcPr>
          <w:p>
            <w:r>
              <w:t>Statutory SoFP + IS + notes; WeasyPrint deny-all + autoescape; watermark + rounding flags; GOLDEN-RENDER acceptance gate</w:t>
            </w:r>
          </w:p>
        </w:tc>
      </w:tr>
      <w:tr>
        <w:tc>
          <w:tcPr>
            <w:tcW w:type="dxa" w:w="2880"/>
          </w:tcPr>
          <w:p>
            <w:r>
              <w:t>9</w:t>
            </w:r>
          </w:p>
        </w:tc>
        <w:tc>
          <w:tcPr>
            <w:tcW w:type="dxa" w:w="2880"/>
          </w:tcPr>
          <w:p>
            <w:r>
              <w:t>Evidence graph</w:t>
            </w:r>
          </w:p>
        </w:tc>
        <w:tc>
          <w:tcPr>
            <w:tcW w:type="dxa" w:w="2880"/>
          </w:tcPr>
          <w:p>
            <w:r>
              <w:t>FS → TB → GL → documents</w:t>
            </w:r>
          </w:p>
        </w:tc>
      </w:tr>
      <w:tr>
        <w:tc>
          <w:tcPr>
            <w:tcW w:type="dxa" w:w="2880"/>
          </w:tcPr>
          <w:p>
            <w:r>
              <w:t>10</w:t>
            </w:r>
          </w:p>
        </w:tc>
        <w:tc>
          <w:tcPr>
            <w:tcW w:type="dxa" w:w="2880"/>
          </w:tcPr>
          <w:p>
            <w:r>
              <w:t>Dashboard + adjustments + roles + locking</w:t>
            </w:r>
          </w:p>
        </w:tc>
        <w:tc>
          <w:tcPr>
            <w:tcW w:type="dxa" w:w="2880"/>
          </w:tcPr>
          <w:p>
            <w:r>
              <w:t>Red/amber/green; adjustment journal; preparer/reviewer roles — FINAL restricted to reviewer; DRAFT LOCKING + FINAL SNAPSHOT (immutable snapshot of statements and notes + engine git SHA; FINAL never recomputed); row_version optimistic concurrency (409), SELECT … FOR UPDATE, database trigger refusing writes to LOCKED/FINAL drafts, Idempotency-Key on upload/adjust/finalise; FINAL blocked by V-DISC-001 until every applicable disclosure question is answered</w:t>
            </w:r>
          </w:p>
        </w:tc>
      </w:tr>
      <w:tr>
        <w:tc>
          <w:tcPr>
            <w:tcW w:type="dxa" w:w="2880"/>
          </w:tcPr>
          <w:p>
            <w:r>
              <w:t>11</w:t>
            </w:r>
          </w:p>
        </w:tc>
        <w:tc>
          <w:tcPr>
            <w:tcW w:type="dxa" w:w="2880"/>
          </w:tcPr>
          <w:p>
            <w:r>
              <w:t>Statutory pages + outputs</w:t>
            </w:r>
          </w:p>
        </w:tc>
        <w:tc>
          <w:tcPr>
            <w:tcW w:type="dxa" w:w="2880"/>
          </w:tcPr>
          <w:p>
            <w:r>
              <w:t>Small-company directors' report; approval + audit-exemption statements; compilation report; DOCX export; auditor's report attachment slot (upload/drop-in at the placeholder page; audit-trailed; frozen in FINAL snapshot; never generated)</w:t>
            </w:r>
          </w:p>
        </w:tc>
      </w:tr>
      <w:tr>
        <w:tc>
          <w:tcPr>
            <w:tcW w:type="dxa" w:w="2880"/>
          </w:tcPr>
          <w:p>
            <w:r>
              <w:t>12</w:t>
            </w:r>
          </w:p>
        </w:tc>
        <w:tc>
          <w:tcPr>
            <w:tcW w:type="dxa" w:w="2880"/>
          </w:tcPr>
          <w:p>
            <w:r>
              <w:t>Audit + GDPR</w:t>
            </w:r>
          </w:p>
        </w:tc>
        <w:tc>
          <w:tcPr>
            <w:tcW w:type="dxa" w:w="2880"/>
          </w:tcPr>
          <w:p>
            <w:r>
              <w:t>Immutable log; audit-trail CSV formula-escaping; erasure; retention-vs-erasure policy stated (statutory retention vs GDPR erasure — which wins, when)</w:t>
            </w:r>
          </w:p>
        </w:tc>
      </w:tr>
      <w:tr>
        <w:tc>
          <w:tcPr>
            <w:tcW w:type="dxa" w:w="2880"/>
          </w:tcPr>
          <w:p>
            <w:r>
              <w:t>13</w:t>
            </w:r>
          </w:p>
        </w:tc>
        <w:tc>
          <w:tcPr>
            <w:tcW w:type="dxa" w:w="2880"/>
          </w:tcPr>
          <w:p>
            <w:r>
              <w:t>Beta</w:t>
            </w:r>
          </w:p>
        </w:tc>
        <w:tc>
          <w:tcPr>
            <w:tcW w:type="dxa" w:w="2880"/>
          </w:tcPr>
          <w:p>
            <w:r>
              <w:t>First practice; golden suite green</w:t>
            </w:r>
          </w:p>
        </w:tc>
      </w:tr>
      <w:tr>
        <w:tc>
          <w:tcPr>
            <w:tcW w:type="dxa" w:w="2880"/>
          </w:tcPr>
          <w:p>
            <w:r>
              <w:t>14</w:t>
            </w:r>
          </w:p>
        </w:tc>
        <w:tc>
          <w:tcPr>
            <w:tcW w:type="dxa" w:w="2880"/>
          </w:tcPr>
          <w:p>
            <w:r>
              <w:t>UK pack + fast-follow</w:t>
            </w:r>
          </w:p>
        </w:tc>
        <w:tc>
          <w:tcPr>
            <w:tcW w:type="dxa" w:w="2880"/>
          </w:tcPr>
          <w:p>
            <w:r>
              <w:t>frs102-1a-uk (Appendix C incl. 1AC.35 + CA 2006 + UK thresholds); A2 options inheritance</w:t>
            </w:r>
          </w:p>
        </w:tc>
      </w:tr>
    </w:tbl>
    <w:p/>
    <w:p>
      <w:pPr>
        <w:pStyle w:val="Heading1"/>
      </w:pPr>
      <w:r>
        <w:rPr>
          <w:color w:val="1F6F3B"/>
        </w:rPr>
        <w:t>10. Pre-Flight Checklist</w:t>
      </w:r>
    </w:p>
    <w:tbl>
      <w:tblPr>
        <w:tblStyle w:val="LightGrid-Accent6"/>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Action</w:t>
            </w:r>
          </w:p>
        </w:tc>
        <w:tc>
          <w:tcPr>
            <w:tcW w:type="dxa" w:w="2880"/>
          </w:tcPr>
          <w:p>
            <w:r>
              <w:rPr>
                <w:b/>
              </w:rPr>
              <w:t>Status</w:t>
            </w:r>
          </w:p>
        </w:tc>
      </w:tr>
      <w:tr>
        <w:tc>
          <w:tcPr>
            <w:tcW w:type="dxa" w:w="2880"/>
          </w:tcPr>
          <w:p>
            <w:r>
              <w:t>1</w:t>
            </w:r>
          </w:p>
        </w:tc>
        <w:tc>
          <w:tcPr>
            <w:tcW w:type="dxa" w:w="2880"/>
          </w:tcPr>
          <w:p>
            <w:r>
              <w:t>Billing: included within existing Kastree subscription tiers</w:t>
            </w:r>
          </w:p>
        </w:tc>
        <w:tc>
          <w:tcPr>
            <w:tcW w:type="dxa" w:w="2880"/>
          </w:tcPr>
          <w:p>
            <w:r>
              <w:t>DECIDED</w:t>
            </w:r>
          </w:p>
        </w:tc>
      </w:tr>
      <w:tr>
        <w:tc>
          <w:tcPr>
            <w:tcW w:type="dxa" w:w="2880"/>
          </w:tcPr>
          <w:p>
            <w:r>
              <w:t>2</w:t>
            </w:r>
          </w:p>
        </w:tc>
        <w:tc>
          <w:tcPr>
            <w:tcW w:type="dxa" w:w="2880"/>
          </w:tcPr>
          <w:p>
            <w:r>
              <w:t>Copy findraft.mdc from the zip to &lt;repo root&gt;/.cursor/rules/findraft.mdc — it is .cursorrules plus a header scoping it to findraft/** (tests/test_rules_sync.py keeps the two identical) — NEVER at the repo root (root rules would steer Product 1 and may overwrite Kastree's existing rules); copy /engine, /tests, /content into findraft/ (the zip's .cursorrules is the reference copy; do not place it at the repo root)</w:t>
            </w:r>
          </w:p>
        </w:tc>
        <w:tc>
          <w:tcPr>
            <w:tcW w:type="dxa" w:w="2880"/>
          </w:tcPr>
          <w:p>
            <w:r>
              <w:t>Ready — v7.6 zip</w:t>
            </w:r>
          </w:p>
        </w:tc>
      </w:tr>
      <w:tr>
        <w:tc>
          <w:tcPr>
            <w:tcW w:type="dxa" w:w="2880"/>
          </w:tcPr>
          <w:p>
            <w:r>
              <w:t>3</w:t>
            </w:r>
          </w:p>
        </w:tc>
        <w:tc>
          <w:tcPr>
            <w:tcW w:type="dxa" w:w="2880"/>
          </w:tcPr>
          <w:p>
            <w:r>
              <w:t>Re-verify: the full suite passes cold (python -m unittest discover -s tests -t .)</w:t>
            </w:r>
          </w:p>
        </w:tc>
        <w:tc>
          <w:tcPr>
            <w:tcW w:type="dxa" w:w="2880"/>
          </w:tcPr>
          <w:p>
            <w:r>
              <w:t>2 minutes</w:t>
            </w:r>
          </w:p>
        </w:tc>
      </w:tr>
      <w:tr>
        <w:tc>
          <w:tcPr>
            <w:tcW w:type="dxa" w:w="2880"/>
          </w:tcPr>
          <w:p>
            <w:r>
              <w:t>4</w:t>
            </w:r>
          </w:p>
        </w:tc>
        <w:tc>
          <w:tcPr>
            <w:tcW w:type="dxa" w:w="2880"/>
          </w:tcPr>
          <w:p>
            <w:r>
              <w:t>Pack selector UI; scope lock; Celery + per-tenant cache (LLM features subject to row 9)</w:t>
            </w:r>
          </w:p>
        </w:tc>
        <w:tc>
          <w:tcPr>
            <w:tcW w:type="dxa" w:w="2880"/>
          </w:tcPr>
          <w:p>
            <w:r>
              <w:t>DECIDED</w:t>
            </w:r>
          </w:p>
        </w:tc>
      </w:tr>
      <w:tr>
        <w:tc>
          <w:tcPr>
            <w:tcW w:type="dxa" w:w="2880"/>
          </w:tcPr>
          <w:p>
            <w:r>
              <w:t>5</w:t>
            </w:r>
          </w:p>
        </w:tc>
        <w:tc>
          <w:tcPr>
            <w:tcW w:type="dxa" w:w="2880"/>
          </w:tcPr>
          <w:p>
            <w:r>
              <w:t>Security acceptance criteria — built in the week each protected code lands: tenant isolation (RLS, SET LOCAL, FORCE RLS) + pack-pinning DB constraint Week 1; upload safety (size cap, real-type check, reject .xlsm, zip-bomb guard, per-practice storage) Week 2; PDF url_fetcher deny-all + Jinja autoescape Week 8; server-side role checks + FINAL snapshot Week 10; audit-trail CSV escaping + retention-vs-erasure policy Week 12. NOT all done by Week 2.</w:t>
            </w:r>
          </w:p>
        </w:tc>
        <w:tc>
          <w:tcPr>
            <w:tcW w:type="dxa" w:w="2880"/>
          </w:tcPr>
          <w:p>
            <w:r>
              <w:t>ADOPTED</w:t>
            </w:r>
          </w:p>
        </w:tc>
      </w:tr>
      <w:tr>
        <w:tc>
          <w:tcPr>
            <w:tcW w:type="dxa" w:w="2880"/>
          </w:tcPr>
          <w:p>
            <w:r>
              <w:t>6</w:t>
            </w:r>
          </w:p>
        </w:tc>
        <w:tc>
          <w:tcPr>
            <w:tcW w:type="dxa" w:w="2880"/>
          </w:tcPr>
          <w:p>
            <w:r>
              <w:t>Statement-layout-into-pack refactor decision (pack schema)</w:t>
            </w:r>
          </w:p>
        </w:tc>
        <w:tc>
          <w:tcPr>
            <w:tcW w:type="dxa" w:w="2880"/>
          </w:tcPr>
          <w:p>
            <w:r>
              <w:t>DECISION REQUIRED — before Week 14</w:t>
            </w:r>
          </w:p>
        </w:tc>
      </w:tr>
      <w:tr>
        <w:tc>
          <w:tcPr>
            <w:tcW w:type="dxa" w:w="2880"/>
          </w:tcPr>
          <w:p>
            <w:r>
              <w:t>7</w:t>
            </w:r>
          </w:p>
        </w:tc>
        <w:tc>
          <w:tcPr>
            <w:tcW w:type="dxa" w:w="2880"/>
          </w:tcPr>
          <w:p>
            <w:r>
              <w:t>Qualified reviewer sign-off of statutory wording</w:t>
            </w:r>
          </w:p>
        </w:tc>
        <w:tc>
          <w:tcPr>
            <w:tcW w:type="dxa" w:w="2880"/>
          </w:tcPr>
          <w:p>
            <w:r>
              <w:t>PENDING — gates client use. Until then, any beta practice using FinDraft on real clients must treat every output as a draft and review it itself before anything is filed or sent.</w:t>
            </w:r>
          </w:p>
        </w:tc>
      </w:tr>
      <w:tr>
        <w:tc>
          <w:tcPr>
            <w:tcW w:type="dxa" w:w="2880"/>
          </w:tcPr>
          <w:p>
            <w:r>
              <w:t>8</w:t>
            </w:r>
          </w:p>
        </w:tc>
        <w:tc>
          <w:tcPr>
            <w:tcW w:type="dxa" w:w="2880"/>
          </w:tcPr>
          <w:p>
            <w:r>
              <w:t>MVP deliverable: members' accounts (income statement; small-company directors' report; approval and audit-exemption statements) vs CRO abridged filing set — confirm the statutory contents with the qualified reviewer</w:t>
            </w:r>
          </w:p>
        </w:tc>
        <w:tc>
          <w:tcPr>
            <w:tcW w:type="dxa" w:w="2880"/>
          </w:tcPr>
          <w:p>
            <w:r>
              <w:t>DECIDED (v6.6): members' accounts</w:t>
            </w:r>
          </w:p>
        </w:tc>
      </w:tr>
      <w:tr>
        <w:tc>
          <w:tcPr>
            <w:tcW w:type="dxa" w:w="2880"/>
          </w:tcPr>
          <w:p>
            <w:r>
              <w:t>9</w:t>
            </w:r>
          </w:p>
        </w:tc>
        <w:tc>
          <w:tcPr>
            <w:tcW w:type="dxa" w:w="2880"/>
          </w:tcPr>
          <w:p>
            <w:r>
              <w:t>LLM in MVP: keep prior-year PDF extraction and mapping tie-break, or ship manual prior-year entry + human review queue (removes the DPA/EU-residency dependency, cost and prompt-injection surface)</w:t>
            </w:r>
          </w:p>
        </w:tc>
        <w:tc>
          <w:tcPr>
            <w:tcW w:type="dxa" w:w="2880"/>
          </w:tcPr>
          <w:p>
            <w:r>
              <w:t>DECIDED (v6.6): no LLM in MVP; v1.1</w:t>
            </w:r>
          </w:p>
        </w:tc>
      </w:tr>
      <w:tr>
        <w:tc>
          <w:tcPr>
            <w:tcW w:type="dxa" w:w="2880"/>
          </w:tcPr>
          <w:p>
            <w:r>
              <w:t>10</w:t>
            </w:r>
          </w:p>
        </w:tc>
        <w:tc>
          <w:tcPr>
            <w:tcW w:type="dxa" w:w="2880"/>
          </w:tcPr>
          <w:p>
            <w:r>
              <w:t>Canonical mapping implementation (engine/mapping.py vs Product 1's) and FinDraft's directory namespace inside the Kastree repo</w:t>
            </w:r>
          </w:p>
        </w:tc>
        <w:tc>
          <w:tcPr>
            <w:tcW w:type="dxa" w:w="2880"/>
          </w:tcPr>
          <w:p>
            <w:r>
              <w:t>DECIDED (v6.6): Product 1 suggests; aggregate() stays; findraft/</w:t>
            </w:r>
          </w:p>
        </w:tc>
      </w:tr>
      <w:tr>
        <w:tc>
          <w:tcPr>
            <w:tcW w:type="dxa" w:w="2880"/>
          </w:tcPr>
          <w:p>
            <w:r>
              <w:t>11</w:t>
            </w:r>
          </w:p>
        </w:tc>
        <w:tc>
          <w:tcPr>
            <w:tcW w:type="dxa" w:w="2880"/>
          </w:tcPr>
          <w:p>
            <w:r>
              <w:t>Scope of A8 cash-flow working column (conflicts with §4.3 non-goal) and A12 roll forward (after beta)</w:t>
            </w:r>
          </w:p>
        </w:tc>
        <w:tc>
          <w:tcPr>
            <w:tcW w:type="dxa" w:w="2880"/>
          </w:tcPr>
          <w:p>
            <w:r>
              <w:t>DECIDED (v6.6): both v1.1</w:t>
            </w:r>
          </w:p>
        </w:tc>
      </w:tr>
      <w:tr>
        <w:tc>
          <w:tcPr>
            <w:tcW w:type="dxa" w:w="2880"/>
          </w:tcPr>
          <w:p>
            <w:r>
              <w:t>12</w:t>
            </w:r>
          </w:p>
        </w:tc>
        <w:tc>
          <w:tcPr>
            <w:tcW w:type="dxa" w:w="2880"/>
          </w:tcPr>
          <w:p>
            <w:r>
              <w:t>Must-add gaps to scope: first-period (no prior year) path through V-GATE-001; practice compilation report; Word export; preparer/reviewer roles for lock/FINAL; parsers for beta practices' TB export formats; excluded-entity eligibility check</w:t>
            </w:r>
          </w:p>
        </w:tc>
        <w:tc>
          <w:tcPr>
            <w:tcW w:type="dxa" w:w="2880"/>
          </w:tcPr>
          <w:p>
            <w:r>
              <w:t>DECIDED (v6.6): all six in scope; §9 rewritten</w:t>
            </w:r>
          </w:p>
        </w:tc>
      </w:tr>
      <w:tr>
        <w:tc>
          <w:tcPr>
            <w:tcW w:type="dxa" w:w="2880"/>
          </w:tcPr>
          <w:p>
            <w:r>
              <w:t>13</w:t>
            </w:r>
          </w:p>
        </w:tc>
        <w:tc>
          <w:tcPr>
            <w:tcW w:type="dxa" w:w="2880"/>
          </w:tcPr>
          <w:p>
            <w:r>
              <w:t>Independent scope review (v7.4) recommends cutting to ~6 weeks: drop bank reconciliation, the four ledger parsers (one generic CSV/XLSX importer + the beta practice's format), in-app editing (DOCX export instead), the pack selector and UK/full-FRS roadmap, the auditor's-report slot, GL ingestion and the evidence-graph tiers beyond TB accounts; and walk the beta practice's end-to-end filing workflow (incl. iXBRL/CT1) and test per-entity pricing before Week 1</w:t>
            </w:r>
          </w:p>
        </w:tc>
        <w:tc>
          <w:tcPr>
            <w:tcW w:type="dxa" w:w="2880"/>
          </w:tcPr>
          <w:p>
            <w:r>
              <w:t>DECISION REQUIRED — yours, before Week 1</w:t>
            </w:r>
          </w:p>
        </w:tc>
      </w:tr>
      <w:tr>
        <w:tc>
          <w:tcPr>
            <w:tcW w:type="dxa" w:w="2880"/>
          </w:tcPr>
          <w:p>
            <w:r>
              <w:t>14</w:t>
            </w:r>
          </w:p>
        </w:tc>
        <w:tc>
          <w:tcPr>
            <w:tcW w:type="dxa" w:w="2880"/>
          </w:tcPr>
          <w:p>
            <w:r>
              <w:t>Only then: begin Week 1</w:t>
            </w:r>
          </w:p>
        </w:tc>
        <w:tc>
          <w:tcPr>
            <w:tcW w:type="dxa" w:w="2880"/>
          </w:tcPr>
          <w:p>
            <w:r>
              <w:t>—</w:t>
            </w:r>
          </w:p>
        </w:tc>
      </w:tr>
    </w:tbl>
    <w:p/>
    <w:p>
      <w:r>
        <w:br w:type="page"/>
      </w:r>
    </w:p>
    <w:p>
      <w:pPr>
        <w:pStyle w:val="Heading1"/>
      </w:pPr>
      <w:r>
        <w:rPr>
          <w:color w:val="1F6F3B"/>
        </w:rPr>
        <w:t>11. Appendix A — Working Engine Code</w:t>
      </w:r>
    </w:p>
    <w:tbl>
      <w:tblPr>
        <w:tblStyle w:val="LightGrid-Accent6"/>
        <w:tblW w:type="auto" w:w="0"/>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Purpose</w:t>
            </w:r>
          </w:p>
        </w:tc>
      </w:tr>
      <w:tr>
        <w:tc>
          <w:tcPr>
            <w:tcW w:type="dxa" w:w="4320"/>
          </w:tcPr>
          <w:p>
            <w:r>
              <w:t>engine/money.py</w:t>
            </w:r>
          </w:p>
        </w:tc>
        <w:tc>
          <w:tcPr>
            <w:tcW w:type="dxa" w:w="4320"/>
          </w:tcPr>
          <w:p>
            <w:r>
              <w:t>Decimal(15,2); floats/bools/non-finite/overflow rejected</w:t>
            </w:r>
          </w:p>
        </w:tc>
      </w:tr>
      <w:tr>
        <w:tc>
          <w:tcPr>
            <w:tcW w:type="dxa" w:w="4320"/>
          </w:tcPr>
          <w:p>
            <w:r>
              <w:t>engine/lines.py</w:t>
            </w:r>
          </w:p>
        </w:tc>
        <w:tc>
          <w:tcPr>
            <w:tcW w:type="dxa" w:w="4320"/>
          </w:tcPr>
          <w:p>
            <w:r>
              <w:t>ONE registry of canonical lines and statement groups; every sum in statements, notes, review rules and mapping iterates it</w:t>
            </w:r>
          </w:p>
        </w:tc>
      </w:tr>
      <w:tr>
        <w:tc>
          <w:tcPr>
            <w:tcW w:type="dxa" w:w="4320"/>
          </w:tcPr>
          <w:p>
            <w:r>
              <w:t>engine/schemas.py</w:t>
            </w:r>
          </w:p>
        </w:tc>
        <w:tc>
          <w:tcPr>
            <w:tcW w:type="dxa" w:w="4320"/>
          </w:tcPr>
          <w:p>
            <w:r>
              <w:t>TBLine validates Decimal/finite/non-negative at construction</w:t>
            </w:r>
          </w:p>
        </w:tc>
      </w:tr>
      <w:tr>
        <w:tc>
          <w:tcPr>
            <w:tcW w:type="dxa" w:w="4320"/>
          </w:tcPr>
          <w:p>
            <w:r>
              <w:t>engine/mapping.py</w:t>
            </w:r>
          </w:p>
        </w:tc>
        <w:tc>
          <w:tcPr>
            <w:tcW w:type="dxa" w:w="4320"/>
          </w:tcPr>
          <w:p>
            <w:r>
              <w:t>Word-boundary confidence; P&amp;L-wording/director/loan exclusions; SIGN_HOMES per-account re-homing; aggregate() returns balances plus lineage (the TB accounts behind each line, surviving re-homing)</w:t>
            </w:r>
          </w:p>
        </w:tc>
      </w:tr>
      <w:tr>
        <w:tc>
          <w:tcPr>
            <w:tcW w:type="dxa" w:w="4320"/>
          </w:tcPr>
          <w:p>
            <w:r>
              <w:t>engine/reconciliation.py</w:t>
            </w:r>
          </w:p>
        </w:tc>
        <w:tc>
          <w:tcPr>
            <w:tcW w:type="dxa" w:w="4320"/>
          </w:tcPr>
          <w:p>
            <w:r>
              <w:t>Exact TB and balance-sheet checks; V-GATE-001; s.117 dividend test; review rules read ONLY from the draft's pinned pack (no default) with every input required — missing or unevaluable inputs fail closed (CRITICAL); director rule recognises account names via lineage</w:t>
            </w:r>
          </w:p>
        </w:tc>
      </w:tr>
      <w:tr>
        <w:tc>
          <w:tcPr>
            <w:tcW w:type="dxa" w:w="4320"/>
          </w:tcPr>
          <w:p>
            <w:r>
              <w:t>engine/statements.py</w:t>
            </w:r>
          </w:p>
        </w:tc>
        <w:tc>
          <w:tcPr>
            <w:tcW w:type="dxa" w:w="4320"/>
          </w:tcPr>
          <w:p>
            <w:r>
              <w:t>Mapping-driven builders; statutory format; chart v2 (investments, provisions, deferred tax, share premium, VAT/PAYE/accrued/deferred-income lines); one profit definition; signed comparatives; prior_from_mapped(): comparatives from prior-year canonical-line balances; SOFP_COMPLIANCE_STATEMENT (1A.6A)</w:t>
            </w:r>
          </w:p>
        </w:tc>
      </w:tr>
      <w:tr>
        <w:tc>
          <w:tcPr>
            <w:tcW w:type="dxa" w:w="4320"/>
          </w:tcPr>
          <w:p>
            <w:r>
              <w:t>engine/rounding.py</w:t>
            </w:r>
          </w:p>
        </w:tc>
        <w:tc>
          <w:tcPr>
            <w:tcW w:type="dxa" w:w="4320"/>
          </w:tcPr>
          <w:p>
            <w:r>
              <w:t>A3 rounding-flag engine; float rejection</w:t>
            </w:r>
          </w:p>
        </w:tc>
      </w:tr>
      <w:tr>
        <w:tc>
          <w:tcPr>
            <w:tcW w:type="dxa" w:w="4320"/>
          </w:tcPr>
          <w:p>
            <w:r>
              <w:t>engine/predicates.py</w:t>
            </w:r>
          </w:p>
        </w:tc>
        <w:tc>
          <w:tcPr>
            <w:tcW w:type="dxa" w:w="4320"/>
          </w:tcPr>
          <w:p>
            <w:r>
              <w:t>AST evaluator; expression length cap; string-arithmetic guard; tokenizer-based AND/OR/NOT normalisation that never touches string literals; unanswered names raise Unanswered</w:t>
            </w:r>
          </w:p>
        </w:tc>
      </w:tr>
      <w:tr>
        <w:tc>
          <w:tcPr>
            <w:tcW w:type="dxa" w:w="4320"/>
          </w:tcPr>
          <w:p>
            <w:r>
              <w:t>engine/notes.py</w:t>
            </w:r>
          </w:p>
        </w:tc>
        <w:tc>
          <w:tcPr>
            <w:tcW w:type="dxa" w:w="4320"/>
          </w:tcPr>
          <w:p>
            <w:r>
              <w:t>Tri-state disclosure context (DERIVED facts from the TB and lineage; ANSWER_FLAGS None until answered); unanswered facts include notes as pending; check_disclosure_answers → V-DISC-001 blocks FINAL; strict names at load, incl. nested conditions; FA grid</w:t>
            </w:r>
          </w:p>
        </w:tc>
      </w:tr>
      <w:tr>
        <w:tc>
          <w:tcPr>
            <w:tcW w:type="dxa" w:w="4320"/>
          </w:tcPr>
          <w:p>
            <w:r>
              <w:t>engine/pack.py</w:t>
            </w:r>
          </w:p>
        </w:tc>
        <w:tc>
          <w:tcPr>
            <w:tcW w:type="dxa" w:w="4320"/>
          </w:tcPr>
          <w:p>
            <w:r>
              <w:t>pack_dir(): versioned immutable pack directories; manifest must match its directory; effective_from guard; re-pin raises</w:t>
            </w:r>
          </w:p>
        </w:tc>
      </w:tr>
      <w:tr>
        <w:tc>
          <w:tcPr>
            <w:tcW w:type="dxa" w:w="4320"/>
          </w:tcPr>
          <w:p>
            <w:r>
              <w:t>tests/</w:t>
            </w:r>
          </w:p>
        </w:tc>
        <w:tc>
          <w:tcPr>
            <w:tcW w:type="dxa" w:w="4320"/>
          </w:tcPr>
          <w:p>
            <w:r>
              <w:t>Named by behaviour for new work (e.g. test_disclosures_and_checks_fail_closed.py: disclosure answers, gate/topic pairs, note totals = balance-sheet lines, exact checks, required rule inputs, depreciation convention, date-based pinning); earlier release-named files kept; pack completeness via test_golden</w:t>
            </w:r>
          </w:p>
        </w:tc>
      </w:tr>
      <w:tr>
        <w:tc>
          <w:tcPr>
            <w:tcW w:type="dxa" w:w="4320"/>
          </w:tcPr>
          <w:p>
            <w:r>
              <w:t>.cursorrules</w:t>
            </w:r>
          </w:p>
        </w:tc>
        <w:tc>
          <w:tcPr>
            <w:tcW w:type="dxa" w:w="4320"/>
          </w:tcPr>
          <w:p>
            <w:r>
              <w:t>v7.5 — also shipped as findraft.mdc (same rules, scoped to findraft/**); kept identical by tests/test_rules_sync.py</w:t>
            </w:r>
          </w:p>
        </w:tc>
      </w:tr>
      <w:tr>
        <w:tc>
          <w:tcPr>
            <w:tcW w:type="dxa" w:w="4320"/>
          </w:tcPr>
          <w:p>
            <w:r>
              <w:t>content/frs102-1a-ie/2024.09/</w:t>
            </w:r>
          </w:p>
        </w:tc>
        <w:tc>
          <w:tcPr>
            <w:tcW w:type="dxa" w:w="4320"/>
          </w:tcPr>
          <w:p>
            <w:r>
              <w:t>Content pack — checklist: all 55 references checked against the licensed text (53 cited with evidence, 2 with no standalone citation) (Section 6)</w:t>
            </w:r>
          </w:p>
        </w:tc>
      </w:tr>
    </w:tbl>
    <w:p/>
    <w:p>
      <w:pPr>
        <w:pStyle w:val="Heading1"/>
      </w:pPr>
      <w:r>
        <w:rPr>
          <w:color w:val="1F6F3B"/>
        </w:rPr>
        <w:t>12. Appendix B — Framework-Change Monitoring (Operations)</w:t>
      </w:r>
    </w:p>
    <w:p>
      <w:pPr>
        <w:pStyle w:val="Heading2"/>
      </w:pPr>
      <w:r>
        <w:rPr>
          <w:color w:val="1F6F3B"/>
        </w:rPr>
        <w:t>B.1 Mechanism (built)</w:t>
      </w:r>
    </w:p>
    <w:p>
      <w:r>
        <w:rPr>
          <w:b w:val="0"/>
          <w:i w:val="0"/>
        </w:rPr>
        <w:t>Pack version pinning with effective_from guards; drafts pin pack_version at creation (re-pin raises).</w:t>
      </w:r>
    </w:p>
    <w:p>
      <w:pPr>
        <w:pStyle w:val="Heading2"/>
      </w:pPr>
      <w:r>
        <w:rPr>
          <w:color w:val="1F6F3B"/>
        </w:rPr>
        <w:t>B.2 Detection (human, quarterly)</w:t>
      </w:r>
    </w:p>
    <w:p>
      <w:pPr>
        <w:pStyle w:val="ListBullet"/>
      </w:pPr>
      <w:r>
        <w:t>FRC alerts/RSS; Chartered Accountants Ireland technical updates; quarterly reminder.</w:t>
      </w:r>
    </w:p>
    <w:p>
      <w:pPr>
        <w:pStyle w:val="Heading2"/>
      </w:pPr>
      <w:r>
        <w:rPr>
          <w:color w:val="1F6F3B"/>
        </w:rPr>
        <w:t>B.3 Triage &amp; known upcoming changes</w:t>
      </w:r>
    </w:p>
    <w:tbl>
      <w:tblPr>
        <w:tblStyle w:val="LightGrid-Accent6"/>
        <w:tblW w:type="auto" w:w="0"/>
        <w:tblLook w:firstColumn="1" w:firstRow="1" w:lastColumn="0" w:lastRow="0" w:noHBand="0" w:noVBand="1" w:val="04A0"/>
      </w:tblPr>
      <w:tblGrid>
        <w:gridCol w:w="2880"/>
        <w:gridCol w:w="2880"/>
        <w:gridCol w:w="2880"/>
      </w:tblGrid>
      <w:tr>
        <w:tc>
          <w:tcPr>
            <w:tcW w:type="dxa" w:w="2880"/>
          </w:tcPr>
          <w:p>
            <w:r>
              <w:rPr>
                <w:b/>
              </w:rPr>
              <w:t>Amendment</w:t>
            </w:r>
          </w:p>
        </w:tc>
        <w:tc>
          <w:tcPr>
            <w:tcW w:type="dxa" w:w="2880"/>
          </w:tcPr>
          <w:p>
            <w:r>
              <w:rPr>
                <w:b/>
              </w:rPr>
              <w:t>Effective</w:t>
            </w:r>
          </w:p>
        </w:tc>
        <w:tc>
          <w:tcPr>
            <w:tcW w:type="dxa" w:w="2880"/>
          </w:tcPr>
          <w:p>
            <w:r>
              <w:rPr>
                <w:b/>
              </w:rPr>
              <w:t>Status</w:t>
            </w:r>
          </w:p>
        </w:tc>
      </w:tr>
      <w:tr>
        <w:tc>
          <w:tcPr>
            <w:tcW w:type="dxa" w:w="2880"/>
          </w:tcPr>
          <w:p>
            <w:r>
              <w:t>Periodic Review 2024 (revenue; leases; disclosures)</w:t>
            </w:r>
          </w:p>
        </w:tc>
        <w:tc>
          <w:tcPr>
            <w:tcW w:type="dxa" w:w="2880"/>
          </w:tcPr>
          <w:p>
            <w:r>
              <w:t>Periods beginning on/after 1 Jan 2026</w:t>
            </w:r>
          </w:p>
        </w:tc>
        <w:tc>
          <w:tcPr>
            <w:tcW w:type="dxa" w:w="2880"/>
          </w:tcPr>
          <w:p>
            <w:r>
              <w:t>BUILT — fixture year is first affected</w:t>
            </w:r>
          </w:p>
        </w:tc>
      </w:tr>
      <w:tr>
        <w:tc>
          <w:tcPr>
            <w:tcW w:type="dxa" w:w="2880"/>
          </w:tcPr>
          <w:p>
            <w:r>
              <w:t>Irish size thresholds (SI 301/2024; FRC amendments 30 Aug 2024)</w:t>
            </w:r>
          </w:p>
        </w:tc>
        <w:tc>
          <w:tcPr>
            <w:tcW w:type="dxa" w:w="2880"/>
          </w:tcPr>
          <w:p>
            <w:r>
              <w:t>Periods beginning on/after 1 Jan 2024</w:t>
            </w:r>
          </w:p>
        </w:tc>
        <w:tc>
          <w:tcPr>
            <w:tcW w:type="dxa" w:w="2880"/>
          </w:tcPr>
          <w:p>
            <w:r>
              <w:t>BUILT</w:t>
            </w:r>
          </w:p>
        </w:tc>
      </w:tr>
      <w:tr>
        <w:tc>
          <w:tcPr>
            <w:tcW w:type="dxa" w:w="2880"/>
          </w:tcPr>
          <w:p>
            <w:r>
              <w:t>IFRS 18 replaces IAS 1 for adapted-format entities (FRC, 18 Feb 2026)</w:t>
            </w:r>
          </w:p>
        </w:tc>
        <w:tc>
          <w:tcPr>
            <w:tcW w:type="dxa" w:w="2880"/>
          </w:tcPr>
          <w:p>
            <w:r>
              <w:t>1 January 2027</w:t>
            </w:r>
          </w:p>
        </w:tc>
        <w:tc>
          <w:tcPr>
            <w:tcW w:type="dxa" w:w="2880"/>
          </w:tcPr>
          <w:p>
            <w:r>
              <w:t>KNOWN UPCOMING — monitor only</w:t>
            </w:r>
          </w:p>
        </w:tc>
      </w:tr>
    </w:tbl>
    <w:p/>
    <w:p>
      <w:pPr>
        <w:pStyle w:val="Heading1"/>
      </w:pPr>
      <w:r>
        <w:rPr>
          <w:color w:val="1F6F3B"/>
        </w:rPr>
        <w:t>13. Appendix C — Work Queue on Tooling Return &amp; Phased Build Protocol</w:t>
      </w:r>
    </w:p>
    <w:tbl>
      <w:tblPr>
        <w:tblStyle w:val="LightGrid-Accent6"/>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Item</w:t>
            </w:r>
          </w:p>
        </w:tc>
        <w:tc>
          <w:tcPr>
            <w:tcW w:type="dxa" w:w="2880"/>
          </w:tcPr>
          <w:p>
            <w:r>
              <w:rPr>
                <w:b/>
              </w:rPr>
              <w:t>Note</w:t>
            </w:r>
          </w:p>
        </w:tc>
      </w:tr>
      <w:tr>
        <w:tc>
          <w:tcPr>
            <w:tcW w:type="dxa" w:w="2880"/>
          </w:tcPr>
          <w:p>
            <w:r>
              <w:t>1</w:t>
            </w:r>
          </w:p>
        </w:tc>
        <w:tc>
          <w:tcPr>
            <w:tcW w:type="dxa" w:w="2880"/>
          </w:tcPr>
          <w:p>
            <w:r>
              <w:t>Product 1 confirmations 1–5</w:t>
            </w:r>
          </w:p>
        </w:tc>
        <w:tc>
          <w:tcPr>
            <w:tcW w:type="dxa" w:w="2880"/>
          </w:tcPr>
          <w:p>
            <w:r>
              <w:t>Deploy, Apex PDF, TB error, export scope, risk flags</w:t>
            </w:r>
          </w:p>
        </w:tc>
      </w:tr>
      <w:tr>
        <w:tc>
          <w:tcPr>
            <w:tcW w:type="dxa" w:w="2880"/>
          </w:tcPr>
          <w:p>
            <w:r>
              <w:t>2</w:t>
            </w:r>
          </w:p>
        </w:tc>
        <w:tc>
          <w:tcPr>
            <w:tcW w:type="dxa" w:w="2880"/>
          </w:tcPr>
          <w:p>
            <w:r>
              <w:t>Stripe Live payment + messy-file stress-testing</w:t>
            </w:r>
          </w:p>
        </w:tc>
        <w:tc>
          <w:tcPr>
            <w:tcW w:type="dxa" w:w="2880"/>
          </w:tcPr>
          <w:p>
            <w:r>
              <w:t>Closes billing link</w:t>
            </w:r>
          </w:p>
        </w:tc>
      </w:tr>
      <w:tr>
        <w:tc>
          <w:tcPr>
            <w:tcW w:type="dxa" w:w="2880"/>
          </w:tcPr>
          <w:p>
            <w:r>
              <w:t>3</w:t>
            </w:r>
          </w:p>
        </w:tc>
        <w:tc>
          <w:tcPr>
            <w:tcW w:type="dxa" w:w="2880"/>
          </w:tcPr>
          <w:p>
            <w:r>
              <w:t>Product 2 Phase 1 build</w:t>
            </w:r>
          </w:p>
        </w:tc>
        <w:tc>
          <w:tcPr>
            <w:tcW w:type="dxa" w:w="2880"/>
          </w:tcPr>
          <w:p>
            <w:r>
              <w:t>Schema + pure engine + golden suite; service-layer security acceptance criteria are the Week 1 gate</w:t>
            </w:r>
          </w:p>
        </w:tc>
      </w:tr>
    </w:tbl>
    <w:p/>
    <w:p>
      <w:r>
        <w:br w:type="page"/>
      </w:r>
    </w:p>
    <w:p>
      <w:pPr>
        <w:pStyle w:val="Heading1"/>
      </w:pPr>
      <w:r>
        <w:rPr>
          <w:color w:val="1F6F3B"/>
        </w:rPr>
        <w:t>14. Document Control</w:t>
      </w:r>
    </w:p>
    <w:tbl>
      <w:tblPr>
        <w:tblStyle w:val="LightGrid-Accent6"/>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Value</w:t>
            </w:r>
          </w:p>
        </w:tc>
      </w:tr>
      <w:tr>
        <w:tc>
          <w:tcPr>
            <w:tcW w:type="dxa" w:w="4320"/>
          </w:tcPr>
          <w:p>
            <w:r>
              <w:t>Document</w:t>
            </w:r>
          </w:p>
        </w:tc>
        <w:tc>
          <w:tcPr>
            <w:tcW w:type="dxa" w:w="4320"/>
          </w:tcPr>
          <w:p>
            <w:r>
              <w:t>FinDraft (Product 2) — Complete Specification &amp; Build Pack, v7.6 FINAL (Master) — frozen</w:t>
            </w:r>
          </w:p>
        </w:tc>
      </w:tr>
      <w:tr>
        <w:tc>
          <w:tcPr>
            <w:tcW w:type="dxa" w:w="4320"/>
          </w:tcPr>
          <w:p>
            <w:r>
              <w:t>Date</w:t>
            </w:r>
          </w:p>
        </w:tc>
        <w:tc>
          <w:tcPr>
            <w:tcW w:type="dxa" w:w="4320"/>
          </w:tcPr>
          <w:p>
            <w:r>
              <w:t>27 September 2026</w:t>
            </w:r>
          </w:p>
        </w:tc>
      </w:tr>
      <w:tr>
        <w:tc>
          <w:tcPr>
            <w:tcW w:type="dxa" w:w="4320"/>
          </w:tcPr>
          <w:p>
            <w:r>
              <w:t>v5.5→v6.0 change log</w:t>
            </w:r>
          </w:p>
        </w:tc>
        <w:tc>
          <w:tcPr>
            <w:tcW w:type="dxa" w:w="4320"/>
          </w:tcPr>
          <w:p>
            <w:r>
              <w:t>Independent code review (C1–C7) applied and extended: lease liabilities in net assets/totals; single profit definition; separate Intangible assets line (completed beyond the supplied patch — the patch removed intangibles from Tangible but never presented them); consumed-lines assertion (money can never be silently dropped); V-GATE-001 prior-year gate; CA 2014 s.117 dividend legality test (exactly-equal lawful); float/bool/non-finite rejection in rounding and TBLine; predicate hardening (10k length cap, string-arithmetic guard, short-circuit) plus full containment (pack errors become ERROR results, reconciliation never aborts); overdraft reclassification (canonical BANK_OVERDRAFT, presented within creditors &lt;1yr) to LOANS_LT1Y; URL-encoded rounding deep-link; pack effective_from guard; N8 employees note always included (s.317); N9 all six commitment triggers; message template hardened; checklist parameterised by PERIOD_START (policies parameterisation deferred). Suite grew to 79/79 across three test files with seeded money-conservation property tests (1,000 random TBs). [v6.2 correction: the overdraft target is BANK_OVERDRAFT, not LOANS_LT1Y; pack errors became ERROR results in v6.0, which was fail-open and replaced in v6.1; no PERIOD_START parameterisation was ever shipped.]</w:t>
            </w:r>
          </w:p>
        </w:tc>
      </w:tr>
      <w:tr>
        <w:tc>
          <w:tcPr>
            <w:tcW w:type="dxa" w:w="4320"/>
          </w:tcPr>
          <w:p>
            <w:r>
              <w:t>Known limitations (honest open items)</w:t>
            </w:r>
          </w:p>
        </w:tc>
        <w:tc>
          <w:tcPr>
            <w:tcW w:type="dxa" w:w="4320"/>
          </w:tcPr>
          <w:p>
            <w:r>
              <w:t>(1) Qualified reviewer's list (gates client use, not the build): each checklist item's (topic, include condition) pair — the directors' items were corrected in v7.5 and are locked by test for sign-off; wording of the note templates and accounting policies (the deferred-tax policy now follows FRS 102 Section 29), the members'-accounts statutory pages, and the auditor's-report slot position (matches the Relate FRS 102 sample: directors' responsibilities statement, then auditor's report, then income statement). Statute references and evidence quotes were checked against the licensed text in v7.4 and are no longer on this list; (2) statement-layout-into-pack refactor needs a pack schema decision — until then the engine ignores the pack's statements.py and policies.py; (3) security acceptance criteria land in the week each protected code exists (Weeks 1, 2, 8, 10, 12) and are not yet code; (4) the engine's strict-typing backlog (94 mypy --strict errors at v7.5) is a Week 1 task; rows are still (label, amount, prior) tuples keyed by display label — typed Figure rows with lineage are recommended by the independent review and not yet done; (5) Word layout; (6) Irish “abridged” terminology; (7) §7.7 rounding adjustment semantics; (8) review rules run on aggregated canonical lines, not individual accounts, so a single negative or round-number account netted into a larger line does not fire; (9) nil-line presentation: the engine currently prints zero lines (e.g. 'Stocks 0', 'Right-of-use assets 0') where the golden tables show '—' — when the statement layout moves into the pack (Week 14 decision), hide lines nil in both years and update test_sofp_has_rou_and_lease_lines accordingly (flagged by final independent audit) ; (10) closed — the §10 decisions were made in v6.6 and scheduled in §9; the real-ledger review's engine items were completed in v6.8–v7.0, and its service-layer items (TB versioning, entity capture) are scheduled in §9 Weeks 1 and 3 ; (11) the money-conservation property test cannot catch a mis-mapping that still balances; the note-total property test and the golden fixtures cover presentation</w:t>
            </w:r>
          </w:p>
        </w:tc>
      </w:tr>
      <w:tr>
        <w:tc>
          <w:tcPr>
            <w:tcW w:type="dxa" w:w="4320"/>
          </w:tcPr>
          <w:p>
            <w:r>
              <w:t>Verification record</w:t>
            </w:r>
          </w:p>
        </w:tc>
        <w:tc>
          <w:tcPr>
            <w:tcW w:type="dxa" w:w="4320"/>
          </w:tcPr>
          <w:p>
            <w:r>
              <w:t>Full suite passes cold from the shipped zip; property tests seeded and reproducible; in v6.2 every factual claim in this document was re-checked against the zip by text search, not against the change log</w:t>
            </w:r>
          </w:p>
        </w:tc>
      </w:tr>
      <w:tr>
        <w:tc>
          <w:tcPr>
            <w:tcW w:type="dxa" w:w="4320"/>
          </w:tcPr>
          <w:p>
            <w:r>
              <w:t>Status</w:t>
            </w:r>
          </w:p>
        </w:tc>
        <w:tc>
          <w:tcPr>
            <w:tcW w:type="dxa" w:w="4320"/>
          </w:tcPr>
          <w:p>
            <w:r>
              <w:t>ENGINE: HARDENED AND RE-VERIFIED (full suite green; fail-closed rules, disclosure answers and balance checks) · PACK: LOADS; CHECKLIST CHECKED AGAINST THE LICENSED TEXT — 53 references with page and citation-bearing quote, 2 with no standalone citation (1AD.1, 1AD.41); test_checklist_integrity ENFORCES evidence on every verified item · DOCUMENT: v7.6 (FROZEN) · GATES: security acceptance criteria (Weeks 1, 2, 8, 10, 12 per plan), pack-schema decision, qualified wording sign-off</w:t>
            </w:r>
          </w:p>
        </w:tc>
      </w:tr>
      <w:tr>
        <w:tc>
          <w:tcPr>
            <w:tcW w:type="dxa" w:w="4320"/>
          </w:tcPr>
          <w:p>
            <w:r>
              <w:t>v6.0→v6.1 change log</w:t>
            </w:r>
          </w:p>
        </w:tc>
        <w:tc>
          <w:tcPr>
            <w:tcW w:type="dxa" w:w="4320"/>
          </w:tcPr>
          <w:p>
            <w:r>
              <w:t>Second independent verification closed: rule-evaluation failures now FAIL CLOSED (CRITICAL, blocks FINAL — the v6.0 ERROR severity was fail-open); FA_INTANGIBLE_AMORT included in the fixed-assets test (the v6.0 intangible fix had resurrected the fully-amortised warning); predicate errors unified to ValueError (deep nesting/RecursionError contained); review_rules catches a specific exception list, not bare Exception. Checklist integrity corrected — three honest verification tiers replace the blanket 'licensed-text-verified' claim (the v6.0 claim was stronger than the data). Document overclaims corrected (PERIOD_START policies, overdraft canonical, V-CONSUME ID, money-conservation wording). .cursorrules suite count and cache-contradiction fixed. New tests/test_v61_regressions.py (4 tests). Suite 79 unittest / 83 pytest, cold-verified. [v6.2 correction: the document overclaims listed here were not actually removed from the v6.1 body, the cache contradiction was not fixed, and the suite was 83 unittest / 87 pytest, not 79 / 83. All corrected in v6.2.]</w:t>
            </w:r>
          </w:p>
        </w:tc>
      </w:tr>
      <w:tr>
        <w:tc>
          <w:tcPr>
            <w:tcW w:type="dxa" w:w="4320"/>
          </w:tcPr>
          <w:p>
            <w:r>
              <w:t>v6.1→v6.2 change log</w:t>
            </w:r>
          </w:p>
        </w:tc>
        <w:tc>
          <w:tcPr>
            <w:tcW w:type="dxa" w:w="4320"/>
          </w:tcPr>
          <w:p>
            <w:r>
              <w:t>Document brought into line with the zip, checked by text search: PERIOD_START claims removed (never shipped); overdraft wording corrected (keyword → LOANS_LT1Y; overdrawn CASH accounts → BANK_OVERDRAFT); V-CONSUME replaced by the actual ValueError behaviour; §4.8 ERROR row replaced by fail-closed CRITICAL; money-conservation claim narrowed; duplicated §5 heading removed; §5 now matches .cursorrules; §6 file descriptions corrected (N8, statements.py, policies.py); Document row said v6.0. Zip: .cursorrules cache sentence rewritten (per-practice cache, never shared) and counts corrected; 12 malformed 'Sch 3A Sch3A' references fixed; 1AD.3/4/6 reclassified to authored (topic-derived), 1AD.48 to citation pending; stale README line fixed. New tests: test_doctored_rows.py (4 — encodes §7.8 exactly as written) and test_checklist_integrity.py (1 — locks verification labels and reference format). Suite 89 unittest / 93 pytest.</w:t>
            </w:r>
          </w:p>
        </w:tc>
      </w:tr>
      <w:tr>
        <w:tc>
          <w:tcPr>
            <w:tcW w:type="dxa" w:w="4320"/>
          </w:tcPr>
          <w:p>
            <w:r>
              <w:t>v6.2→v6.3 change log</w:t>
            </w:r>
          </w:p>
        </w:tc>
        <w:tc>
          <w:tcPr>
            <w:tcW w:type="dxa" w:w="4320"/>
          </w:tcPr>
          <w:p>
            <w:r>
              <w:t>Evidence standard adopted: every 'verified' checklist item now carries a source location — licensed-PDF page number and an exact quoted phrase (38 evidence records, programmatically extracted). 1AD.3/1AD.4/1AD.6 restored to 'verified' with verbatim extraction evidence (Section 291(7), 321(1), 120(3) confirmed in the licensed September 2024 text). test_checklist_integrity extended: no item may claim 'verified' without an evidence record — the 89-test suite enforces it. Suite 89 unittest / 93 pytest cold-verified. Document changes verified against the zip by text search, not the change log.</w:t>
            </w:r>
          </w:p>
        </w:tc>
      </w:tr>
      <w:tr>
        <w:tc>
          <w:tcPr>
            <w:tcW w:type="dxa" w:w="4320"/>
          </w:tcPr>
          <w:p>
            <w:r>
              <w:t>v6.3→v6.4 change log</w:t>
            </w:r>
          </w:p>
        </w:tc>
        <w:tc>
          <w:tcPr>
            <w:tcW w:type="dxa" w:w="4320"/>
          </w:tcPr>
          <w:p>
            <w:r>
              <w:t>Evidence standard corrected per independent verification: quotes must now CONTAIN the cited reference itself (37 verified items — quotes extracted from the licensed text window around each citation; 1AD.3/4/6 retain verbatim "Section 291(7)/321(1)/120(3)" quotes). 3 items whose citations could not be located in the licensed text (1AD.13, 1AD.38, 1AD.51) honestly demoted to authored-pending (now 16 authored-pending, 1 citation-pending). test_checklist_integrity extended: every verified item's quote must contain its statuteRef citation number. Counts synced to 89 unittest / 93 pytest across the executive summary, §5, §7, §8, §10, §11, verification record, and .cursorrules. Document verified against the zip by text search. [Post-release correction to this document only (zip unchanged): the count sweep had missed 11 body locations — e.g. §8 read '89/88', §5 read '92 via pytest' so it no longer matched .cursorrules, the §6 checklist row and limitation (1) still gave v6.2 tier counts, and the Document row still said v6.2. All corrected and re-checked against the zip by text search.]</w:t>
            </w:r>
          </w:p>
        </w:tc>
      </w:tr>
      <w:tr>
        <w:tc>
          <w:tcPr>
            <w:tcW w:type="dxa" w:w="4320"/>
          </w:tcPr>
          <w:p>
            <w:r>
              <w:t>v6.4→v6.5 change log</w:t>
            </w:r>
          </w:p>
        </w:tc>
        <w:tc>
          <w:tcPr>
            <w:tcW w:type="dxa" w:w="4320"/>
          </w:tcPr>
          <w:p>
            <w:r>
              <w:t>Product/architecture review applied where factual; product choices recorded as open decisions, not made. .cursorrules rewritten (v6.5): statements that contradicted the code corrected (10 note templates, not 9; actual checklist and pack.json fields; no thresholds block yet; the unreachable 80–99 confidence tier stated as such; MinIO local / S3 production; policy wording fixed, never LLM-generated); accepted exceptions stated so Cursor does not refactor them (engine-owned labels, unresolved mapping ownership and repo namespace); test counts and thresholds removed from the rules; new §14–17 safeguards (change safety, dependencies, scope discipline, data &amp; tenancy incl. FINAL snapshot + engine SHA). Document: §5 rebuilt to mirror the file; §3 A8/A12 and §4.9 contradictions marked open; §4.10 and §10 gain five decision/scoping rows; §2.1 pack identity and thresholds corrected; §11 table corrected (all six test files; pack no longer described as wholly licensed-text-verified). Engine, pack and tests unchanged — suite 89 unittest / 93 pytest.</w:t>
            </w:r>
          </w:p>
        </w:tc>
      </w:tr>
      <w:tr>
        <w:tc>
          <w:tcPr>
            <w:tcW w:type="dxa" w:w="4320"/>
          </w:tcPr>
          <w:p>
            <w:r>
              <w:t>v6.5→v6.6 change log</w:t>
            </w:r>
          </w:p>
        </w:tc>
        <w:tc>
          <w:tcPr>
            <w:tcW w:type="dxa" w:w="4320"/>
          </w:tcPr>
          <w:p>
            <w:r>
              <w:t>Product decisions DECIDED (§10 rows 8–12, recorded in §4.10): members' accounts (directors' report + approval/audit-exemption statements IN scope; §4.3 and .cursorrules §11 updated — cash-flow STATEMENT remains the only non-goal); NO LLM in MVP (§4.9 rewritten; manual prior-year entry + first-period path + review queue; extraction/tie-break deferred to v1.1 with DPA/EU preconditions); row 10 resolved per reviewer's pushback — Product 1 owns suggestions with exclusions ported, engine/mapping.aggregate() STAYS in the production statement path, canonical-name contract test, namespace findraft/; A8/A12 → v1.1; all six gaps in scope. §9 build plan rewritten to the new scope — FINAL snapshot + draft locking moved to Week 7. .cursorrules updated (§1 identity, §3 mapping/namespace, §8 LLM, §11 guardrails, header). Engine, pack, tests UNCHANGED — suite 89 unittest / 93 pytest, cold-verified. Every document claim re-checked against the zip by text search.</w:t>
            </w:r>
          </w:p>
        </w:tc>
      </w:tr>
      <w:tr>
        <w:tc>
          <w:tcPr>
            <w:tcW w:type="dxa" w:w="4320"/>
          </w:tcPr>
          <w:p>
            <w:r>
              <w:t>v6.6→v6.7 change log</w:t>
            </w:r>
          </w:p>
        </w:tc>
        <w:tc>
          <w:tcPr>
            <w:tcW w:type="dxa" w:w="4320"/>
          </w:tcPr>
          <w:p>
            <w:r>
              <w:t>Independent check of v6.6 against its own decisions (text search, not the change log). Document: Document row still said v6.5; §4.3 still listed the directors' report as a non-goal (the v6.6 sweep missed it because of the curly apostrophe); §3 A8/A12 and the §4.10 v6.5 decisions row still said OPEN; cover, G2, Step 2, Step 6 and §10 row 5 still assumed LLM use; §1 still described an abridged set. §9 sequencing corrected: beta-ledger TB parsers moved from the beta week to Week 3 (needed to onboard the beta practice); draft locking and the FINAL snapshot moved from Week 7 to Week 10, after the statement generator (Week 8) and alongside adjustments, since a snapshot needs statements to exist. .cursorrules: §3 still called the repo namespace an OPEN DECISION; §5 still listed decided items as OPEN. Engine, pack and tests unchanged — suite 89 unittest / 93 pytest.</w:t>
            </w:r>
          </w:p>
        </w:tc>
      </w:tr>
      <w:tr>
        <w:tc>
          <w:tcPr>
            <w:tcW w:type="dxa" w:w="4320"/>
          </w:tcPr>
          <w:p>
            <w:r>
              <w:t>v6.7→v6.8 change log</w:t>
            </w:r>
          </w:p>
        </w:tc>
        <w:tc>
          <w:tcPr>
            <w:tcW w:type="dxa" w:w="4320"/>
          </w:tcPr>
          <w:p>
            <w:r>
              <w:t>Step-0 engine prep (real-ledger review): (1) disclosures fail CLOSED — build_note_context raises KeyError on any undeclared predicate name at pack load; (2) SIGN_HOMES per-account reclassification — overdrawn director's loans/VAT/PAYE/deferred tax present on the correct side (DIRECTOR_LOAN→OTHER_DEBTORS/OTHER_CREDITORS; CASH→BANK_OVERDRAFT retained); (3) canonical chart v2 — investments, provisions, deferred tax liability, share premium, VAT/PAYE creditor lines, accrued/deferred income wired into the SoFP and consumed-lines assertion; keyword dictionary extended (11-name probe). New fixture #2 (messy Irish golden chart) with the director's-loan-as-debtor assertion. Suite 92 unittest / 94 pytest, cold-verified. Rules file unchanged (v6.7). Recorded for the build: pack directory versioning, duplicate compliance statement dedupe, TAXATION/CORP_TAX alignment, prior-year leaf-line schema, TB versioning, entity capture.</w:t>
            </w:r>
          </w:p>
        </w:tc>
      </w:tr>
      <w:tr>
        <w:tc>
          <w:tcPr>
            <w:tcW w:type="dxa" w:w="4320"/>
          </w:tcPr>
          <w:p>
            <w:r>
              <w:t>v6.8→v6.9 change log</w:t>
            </w:r>
          </w:p>
        </w:tc>
        <w:tc>
          <w:tcPr>
            <w:tcW w:type="dxa" w:w="4320"/>
          </w:tcPr>
          <w:p>
            <w:r>
              <w:t>Independent check of v6.8. The chart-v2 lines were registered but wired wrongly, and v6.8's 92 tests could not see it because the money-conservation property test still drew only from the pre-v6.8 lines. Extending that pool made it fail in hundreds of cases. Fixed: (1) provisions and deferred tax liability were left out of net assets and double-counted in the liabilities total, and share premium was left out of equity, so any client with these failed the balance check; (2) the notes context did not count VAT/PAYE creditors, fixtures or land &amp; buildings, so the creditors and fixed-asset notes were silently omitted (fixture-2-style clients lost N2 and N4); (3) the new balance-sheet lines were missing from the P&amp;L-wording exclusion set, so 'Deferred tax charge', 'Director's loan interest' and 'VAT … written off' were suggested as balance-sheet lines; (4) 'hire purchase' and 'finance lease' mapped to the unpresentable LOANS line (build refused) — now LOANS_GT1Y and LEASE_LIABILITY_GT1Y, with 'hire purchase' exempt from the 'hire' P&amp;L-wording rule. New tests/test_v69_regressions.py (6 tests, 8 failing sub-cases against v6.8). Document: v6.8 quoted 94 pytest (actual 96), 35 golden tests (actual 36), 89/89 in four places, the Document row as v6.7, and .cursorrules as v6.8 (the file is v6.7). Suite 98 unittest / 102 pytest, cold-verified; .cursorrules unchanged.</w:t>
            </w:r>
          </w:p>
        </w:tc>
      </w:tr>
      <w:tr>
        <w:tc>
          <w:tcPr>
            <w:tcW w:type="dxa" w:w="4320"/>
          </w:tcPr>
          <w:p>
            <w:r>
              <w:t>v6.9→v7.0 change log</w:t>
            </w:r>
          </w:p>
        </w:tc>
        <w:tc>
          <w:tcPr>
            <w:tcW w:type="dxa" w:w="4320"/>
          </w:tcPr>
          <w:p>
            <w:r>
              <w:t>Final: closes every item the real-ledger review left open. (1) Versioned packs — the pack moved to content/frs102-1a-ie/2024.09/; engine/pack.py pack_dir() resolves a pinned draft to exactly that directory and refuses unknown versions or unsafe identities; a manifest must match its directory. (2) One compliance statement — removed from the engine and the pack's statements.py; note N1 (Irish wording) is the single source. (3) Notes N3/N4 — line lists are canonical names only; N4 now shows corporation tax, VAT and PAYE/PRSI (the non-existent TAXATION name is gone) plus deferred income and &lt;1y lease liabilities; N3 lists the chart-v2 debtor lines; nested includeWhen conditions are validated at load. (4) Prior year at line level — prior_from_mapped() renders comparatives from prior-year canonical-line balances by the same builders, so every line, including chart-v2 lines, has a comparative. (5) TB versioning and entity capture — service-layer designs written into .cursorrules §17 and scheduled in §9 Weeks 1 and 3. Pack README rewritten to match the files. New tests/test_v70_final.py (9 tests; the module cannot load against v6.9). Suite 107 unittest / 111 pytest, cold-verified; .cursorrules v7.0.</w:t>
            </w:r>
          </w:p>
        </w:tc>
      </w:tr>
      <w:tr>
        <w:tc>
          <w:tcPr>
            <w:tcW w:type="dxa" w:w="4320"/>
          </w:tcPr>
          <w:p>
            <w:r>
              <w:t>v7.0→v7.1 change log</w:t>
            </w:r>
          </w:p>
        </w:tc>
        <w:tc>
          <w:tcPr>
            <w:tcW w:type="dxa" w:w="4320"/>
          </w:tcPr>
          <w:p>
            <w:r>
              <w:t>Auditor's report attachment slot ADDED (requirement): audited clients get a placeholder page between the directors' responsibilities statement and the income statement; the practice attaches the signed auditor's report PDF at that slot; contents paginate it correctly; audit-trailed and frozen in the FINAL snapshot. ABSOLUTE BOUNDARY: the system inserts the issued report, never generates auditor-report content. Unaudited small companies: slot disabled, audit-exemption statement stands. Pairs naturally with the frs102-full pack (§2.2) for audited clients. Engine, pack, rules UNCHANGED. Also confirms: full FRS 102 is built (frs102-full pack, ~6 weeks post-MVP) — not a reprioritisation.</w:t>
            </w:r>
          </w:p>
        </w:tc>
      </w:tr>
      <w:tr>
        <w:tc>
          <w:tcPr>
            <w:tcW w:type="dxa" w:w="4320"/>
          </w:tcPr>
          <w:p>
            <w:r>
              <w:t>v7.1→v7.2 change log</w:t>
            </w:r>
          </w:p>
        </w:tc>
        <w:tc>
          <w:tcPr>
            <w:tcW w:type="dxa" w:w="4320"/>
          </w:tcPr>
          <w:p>
            <w:r>
              <w:t>Review corrections applied: (1) RULES PLACEMENT — never paste .cursorrules at the Kastree repo root (would steer Product 1 and may overwrite Kastree's rules); install as .cursor/rules/findraft.mdc scoped to findraft/**. (2) Security phrasing corrected — acceptance criteria land in the week each protected code exists (Week 1 tenant isolation + pinning constraint; Week 2 upload safety; Week 8 PDF lockdown; Week 10 role checks + FINAL snapshot; Week 12 CSV escaping + retention policy), not 'all by Week 2'. (3) Irish company formation is via the CRO (Companies Registration Office), not Companies House (UK registry). (4) Two new acceptance criteria ADDED: upload safety (Week 2) and retention-vs-erasure policy (Week 12), both also in .cursorrules §17. (5) Sign-off nuance: beta practices must self-review every output before filing until the accountant's sign-off. Engine/pack/tests unchanged — suite 107/107 cold.</w:t>
            </w:r>
          </w:p>
        </w:tc>
      </w:tr>
      <w:tr>
        <w:tc>
          <w:tcPr>
            <w:tcW w:type="dxa" w:w="4320"/>
          </w:tcPr>
          <w:p>
            <w:r>
              <w:t>v7.2→v7.3 change log</w:t>
            </w:r>
          </w:p>
        </w:tc>
        <w:tc>
          <w:tcPr>
            <w:tcW w:type="dxa" w:w="4320"/>
          </w:tcPr>
          <w:p>
            <w:r>
              <w:t>Independent check of v7.2. The upload-safety and retention-vs-erasure lines were added to .cursorrules but not to §5, so §5 no longer matched the file; the changed rules file still said v7.0, as did the §5 intro, the §11 table and the Document row. §10 told users to install .cursor/rules/findraft.mdc, but no such file was shipped and Cursor needs a header to apply the findraft/** scope. Fixed: findraft.mdc now ships in the zip (the rules plus that header); new tests/test_rules_sync.py keeps it identical to .cursorrules; §5 rebuilt from the file; labels corrected. Engine, pack and other tests unchanged. Suite 108 unittest / 112 pytest.</w:t>
            </w:r>
          </w:p>
        </w:tc>
      </w:tr>
      <w:tr>
        <w:tc>
          <w:tcPr>
            <w:tcW w:type="dxa" w:w="4320"/>
          </w:tcPr>
          <w:p>
            <w:r>
              <w:t>v7.3→v7.4 change log</w:t>
            </w:r>
          </w:p>
        </w:tc>
        <w:tc>
          <w:tcPr>
            <w:tcW w:type="dxa" w:w="4320"/>
          </w:tcPr>
          <w:p>
            <w:r>
              <w:t>Checked against the licensed FRS 102 (September 2024) text and the Relate FRS 102 sample accounts. (1) Checklist: 14 of the 16 authored references were wrong — they cited Schedule 3A paragraph numbers where the licensed text cites Companies Act sections (e.g. 1AD.38–1AD.47 are ss.305–308, 1AD.49 is ss.275(3)/320); 1AD.37 and 1AD.51 were right; 1AD.48 is s.309; 1AD.41 has no standalone citation. All replaced with the citations printed in the licensed text, each with page and quote. All 38 existing evidence quotes were confirmed present in the licensed text. Twelve topic labels that did not describe their paragraphs were rewritten, and embedded citations were removed from topics. (2) Correction of a v7.0 error: the balance-sheet statement that v7.0 removed as 'UK-flavoured' is required in Ireland — FRS 102 1A.6A, footnote 9: s.324(4A) CA 2014. It is restored on the SoFP; N1's statement of compliance (1AD.3) is a different required statement and stays. (3) Deferred-tax policy corrected from the partial-provision 'probable to crystallise' test to FRS 102 29.6/29.7/29.12/29.17. (4) Auditor's-report slot position confirmed by the Relate sample's contents page. New tests/test_v74_licensed_text.py (3 tests); suite 111 unittest / 115 pytest; .cursorrules v7.4.</w:t>
            </w:r>
          </w:p>
        </w:tc>
      </w:tr>
      <w:tr>
        <w:tc>
          <w:tcPr>
            <w:tcW w:type="dxa" w:w="4320"/>
          </w:tcPr>
          <w:p>
            <w:r>
              <w:t>v7.4→v7.5 change log</w:t>
            </w:r>
          </w:p>
        </w:tc>
        <w:tc>
          <w:tcPr>
            <w:tcW w:type="dxa" w:w="4320"/>
          </w:tcPr>
          <w:p>
            <w:r>
              <w:t>Independent product/architecture/code review of v7.4; every demonstrated finding reproduced before fixing. Engine (Fire Drill 3): one canonical-line registry (engine/lines.py) drives every sum — fixes the lease-only creditors note gap and the fixed-asset list the review rules had missed; disclosure answers are tri-state, an unanswered fact includes its note as pending and V-DISC-001 blocks FINAL; director's loans are derived from aggregate() lineage (fixture #2's €50,000 now triggers the directors'-loan disclosures); 13 checklist gates corrected to match their topics (1AD.35, 1AD.37–1AD.46, 1AD.48, 1AD.49 — v7.4 had relabelled topics without re-checking gates) and locked by test for reviewer sign-off; 11 topics still carried embedded citations (v7.4's clean-up missed nested brackets) and are cleaned; TB and balance-sheet checks exact; review rules require the pinned pack (no default) and all inputs (missing profit now fails closed instead of skipping the dividend test); director rule recognises account names; one depreciation convention (no double count); date-based pinning; keywords inside string literals untouched; unused schema classes removed. Rules (Fire Drills 1 and 2): fail-closed RLS design, composite tenant/company keys, PgBouncer/asyncpg settings, snapshot storage of derived output, draft concurrency and database-level locking, idempotency, worker rendering, import-side formula escaping, append-only audit chain, CORS allowlist; strict typing extended to the engine as a Week 1 task. §11 listed .cursorrules as v7.3 in v7.4; corrected. The review's product recommendations are recorded in §10 row 13 as YOUR decision, not made here. SPECIFICATION FROZEN: from v7.5 the code and tests are the specification. Suite at v7.5: 129 unittest / 133 pytest.</w:t>
            </w:r>
          </w:p>
        </w:tc>
      </w:tr>
      <w:tr>
        <w:tc>
          <w:tcPr>
            <w:tcW w:type="dxa" w:w="4320"/>
          </w:tcPr>
          <w:p>
            <w:r>
              <w:t>v7.5→v7.6 change log</w:t>
            </w:r>
          </w:p>
        </w:tc>
        <w:tc>
          <w:tcPr>
            <w:tcW w:type="dxa" w:w="4320"/>
          </w:tcPr>
          <w:p>
            <w:r>
              <w:t>Pre-build stress suite (tests/test_stress.py, 12 tests): 500 seeded random trial balances articulating through the real path; extreme values (€0.01 to ~€1tr); 5,000-account build performance; unbalanced-TB loud failure; 1,000-name mapping fuzz with loan/tax-term CASH invariant; every sign-home control both directions; 800-expression predicate fuzz with hang detection; malformed-input fast-fail; corrupt/oversized pack files; 20,000-case rounding sweep; unanswered-disclosure never-default-no. Two real engine gaps found and fixed (failing test first): (1) pack_dir() did not validate manifest identity against its directory — added; (2) names containing tax terms (VAT/PAYE/PRSI/USC/corporation tax) could fall back to a CASH suggestion — excluded. Suite at v7.6: 141 unittest (12 stress). Roadmap for further stress testing in §13.</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