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906" w:rsidRDefault="00152906" w:rsidP="005D2CBF">
      <w:pPr>
        <w:pStyle w:val="Heading1"/>
        <w:jc w:val="both"/>
        <w:rPr>
          <w:lang w:val="ka-GE"/>
        </w:rPr>
      </w:pPr>
      <w:r>
        <w:rPr>
          <w:lang w:val="ka-GE"/>
        </w:rPr>
        <w:t>ქართული</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მიწათსარგებლობისა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ქონების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პოტენციალის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გახსნა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გენერალური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გეგმის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ნავიგაცია</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მიწის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ნაკვეთი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ნიადაგი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სივრცე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ტილო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განისაზღვრება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აშენების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იძლევა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მიწათსარგებლობისა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გასაღები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ხსნის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ასახულია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გენერალურ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დადგენილებებში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ყველაფერს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სიმაღლიდან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სიმჭიდროვიდან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დასაშვები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ლანდშაფტის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გენერალურ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მოსაყვანად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მაქსიმიზაცია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მიზნებისკენ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წინსვლა</w:t>
      </w:r>
      <w:r>
        <w:rPr>
          <w:rStyle w:val="ng-star-inserted1"/>
          <w:rFonts w:ascii="Helvetica Neue" w:hAnsi="Helvetica Neue"/>
          <w:color w:val="1A1C1E"/>
          <w:sz w:val="21"/>
          <w:szCs w:val="21"/>
        </w:rPr>
        <w:t>.</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საჭირო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მიწათსარგებლობისა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წინასწარი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შეძენის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წინასწარი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დეველოპმენტის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კვლევით</w:t>
      </w:r>
      <w:r>
        <w:rPr>
          <w:rStyle w:val="ng-star-inserted1"/>
          <w:rFonts w:ascii="Helvetica Neue" w:hAnsi="Helvetica Neue"/>
          <w:color w:val="1A1C1E"/>
          <w:sz w:val="21"/>
          <w:szCs w:val="21"/>
        </w:rPr>
        <w:t xml:space="preserve"> (due diligence),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მიწათსარგებლობის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შესაძლებელი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კანონის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ძალით</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ვსახავთ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ვარიაციის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მისაღებად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რეალობად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იქცეს</w:t>
      </w:r>
      <w:r>
        <w:rPr>
          <w:rStyle w:val="ng-star-inserted1"/>
          <w:rFonts w:ascii="Helvetica Neue" w:hAnsi="Helvetica Neue"/>
          <w:color w:val="1A1C1E"/>
          <w:sz w:val="21"/>
          <w:szCs w:val="21"/>
        </w:rPr>
        <w:t>.</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ეფუძნება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მიწათსარგებლობის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გეგმებთან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საზოგადოებრივ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სტანდარტებთან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განვმარტავთ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კოდექსს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რეკომენდაციას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დამგეგმავებს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დააპროექტონ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შეესაბამება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განვითარების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ზრდის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გლუვი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ალბათობას</w:t>
      </w:r>
      <w:r>
        <w:rPr>
          <w:rStyle w:val="ng-star-inserted1"/>
          <w:rFonts w:ascii="Helvetica Neue" w:hAnsi="Helvetica Neue"/>
          <w:color w:val="1A1C1E"/>
          <w:sz w:val="21"/>
          <w:szCs w:val="21"/>
        </w:rPr>
        <w:t>.</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გარდაუვალია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მოსმენებზე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გასაჩივრებებსა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ვამზადებთ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წარმოვადგენთ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დამაჯერებელ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მტკიცებულებებზე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დაფუძნებულ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განვმარტავთ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სარგებელს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ვპასუხობთ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შეშფოთებას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გამოწვევისგან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ფორუმებში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ბედს</w:t>
      </w:r>
      <w:r>
        <w:rPr>
          <w:rStyle w:val="ng-star-inserted1"/>
          <w:rFonts w:ascii="Helvetica Neue" w:hAnsi="Helvetica Neue"/>
          <w:color w:val="1A1C1E"/>
          <w:sz w:val="21"/>
          <w:szCs w:val="21"/>
        </w:rPr>
        <w:t>.</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მოგვეცით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გავხსნათ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გახსნა</w:t>
      </w:r>
      <w:r>
        <w:rPr>
          <w:rStyle w:val="ng-star-inserted1"/>
          <w:rFonts w:ascii="Helvetica Neue" w:hAnsi="Helvetica Neue"/>
          <w:color w:val="1A1C1E"/>
          <w:sz w:val="21"/>
          <w:szCs w:val="21"/>
        </w:rPr>
        <w:t>.</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ნავიგაციისთვის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რეალიზაციისთვის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w:t>
      </w:r>
    </w:p>
    <w:p w:rsidR="005D2CBF" w:rsidRPr="005D2CBF" w:rsidRDefault="005D2CBF" w:rsidP="005D2CBF">
      <w:pPr>
        <w:jc w:val="both"/>
        <w:rPr>
          <w:lang w:val="ka-GE"/>
        </w:rPr>
      </w:pPr>
    </w:p>
    <w:p w:rsidR="00152906" w:rsidRDefault="00152906" w:rsidP="005D2CBF">
      <w:pPr>
        <w:pStyle w:val="Heading1"/>
        <w:jc w:val="both"/>
      </w:pPr>
      <w:r>
        <w:t>English</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Unlocking a Property's Potential: Navigating the Master Plan</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parcel of land is more than just soil and space; it is a canvas of potential, whose value is defined entirely by what the law allows to be built upon it. </w:t>
      </w:r>
      <w:r>
        <w:rPr>
          <w:rStyle w:val="ng-star-inserted1"/>
          <w:rFonts w:ascii="Helvetica Neue" w:hAnsi="Helvetica Neue"/>
          <w:b/>
          <w:bCs/>
          <w:color w:val="1A1C1E"/>
          <w:sz w:val="21"/>
          <w:szCs w:val="21"/>
        </w:rPr>
        <w:t>Land use and zoning permits</w:t>
      </w:r>
      <w:r>
        <w:rPr>
          <w:rStyle w:val="ng-star-inserted1"/>
          <w:rFonts w:ascii="Helvetica Neue" w:hAnsi="Helvetica Neue"/>
          <w:color w:val="1A1C1E"/>
          <w:sz w:val="21"/>
          <w:szCs w:val="21"/>
        </w:rPr>
        <w:t> are the legal keys that unlock this potential. These rules, enshrined in municipal master plans and zoning ordinances, dictate everything from building height and density to permissible commercial activities. Navigating this legal landscape is the first and most critical step in any development project. Our company provides the expert legal guidance needed to align your vision with these master plans, ensuring you can maximize your property's value and move forward with your development goals.</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essential </w:t>
      </w:r>
      <w:r>
        <w:rPr>
          <w:rStyle w:val="ng-star-inserted1"/>
          <w:rFonts w:ascii="Helvetica Neue" w:hAnsi="Helvetica Neue"/>
          <w:b/>
          <w:bCs/>
          <w:color w:val="1A1C1E"/>
          <w:sz w:val="21"/>
          <w:szCs w:val="21"/>
        </w:rPr>
        <w:t>legal support in obtaining all necessary land use and zoning permits</w:t>
      </w:r>
      <w:r>
        <w:rPr>
          <w:rStyle w:val="ng-star-inserted1"/>
          <w:rFonts w:ascii="Helvetica Neue" w:hAnsi="Helvetica Neue"/>
          <w:color w:val="1A1C1E"/>
          <w:sz w:val="21"/>
          <w:szCs w:val="21"/>
        </w:rPr>
        <w:t>. This begins with meticulous pre-purchase or pre-development due diligence, where we analyze the existing zoning status and land use plans affecting your property. We identify what is possible "as of right," and more importantly, we map out the strategic path for securing variances, conditional use permits, or zoning changes to make your specific project a reality.</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is rooted in proactive </w:t>
      </w:r>
      <w:r>
        <w:rPr>
          <w:rStyle w:val="ng-star-inserted1"/>
          <w:rFonts w:ascii="Helvetica Neue" w:hAnsi="Helvetica Neue"/>
          <w:b/>
          <w:bCs/>
          <w:color w:val="1A1C1E"/>
          <w:sz w:val="21"/>
          <w:szCs w:val="21"/>
        </w:rPr>
        <w:t>advising on compliance with zoning laws, land use plans, and community standards</w:t>
      </w:r>
      <w:r>
        <w:rPr>
          <w:rStyle w:val="ng-star-inserted1"/>
          <w:rFonts w:ascii="Helvetica Neue" w:hAnsi="Helvetica Neue"/>
          <w:color w:val="1A1C1E"/>
          <w:sz w:val="21"/>
          <w:szCs w:val="21"/>
        </w:rPr>
        <w:t>. We interpret the complex legal code, advising your architects and planners on how to design a project that not only meets the letter of the law but also aligns with the community's development goals, significantly increasing the likelihood of a smooth approval process.</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a public hearing or a dispute is unavoidable, our advocacy is formidable. We provide expert </w:t>
      </w:r>
      <w:r>
        <w:rPr>
          <w:rStyle w:val="ng-star-inserted1"/>
          <w:rFonts w:ascii="Helvetica Neue" w:hAnsi="Helvetica Neue"/>
          <w:b/>
          <w:bCs/>
          <w:color w:val="1A1C1E"/>
          <w:sz w:val="21"/>
          <w:szCs w:val="21"/>
        </w:rPr>
        <w:t>representation in zoning board hearings, appeals, and disputes</w:t>
      </w:r>
      <w:r>
        <w:rPr>
          <w:rStyle w:val="ng-star-inserted1"/>
          <w:rFonts w:ascii="Helvetica Neue" w:hAnsi="Helvetica Neue"/>
          <w:color w:val="1A1C1E"/>
          <w:sz w:val="21"/>
          <w:szCs w:val="21"/>
        </w:rPr>
        <w:t>. We prepare and present a compelling, evidence-based case for your project, articulating its benefits and addressing any concerns. Whether you are seeking initial approval, appealing a denial, or defending your project against a challenge, we are your powerful voice in the forums that will decide your property’s fate.</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Let us unlock the legal potential of your land, so you can unlock its commercial value.</w:t>
      </w:r>
    </w:p>
    <w:p w:rsid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strategically navigate the zoning process and realize the full potential of your property, contact our company.</w:t>
      </w:r>
    </w:p>
    <w:p w:rsidR="005D2CBF" w:rsidRPr="005D2CBF" w:rsidRDefault="005D2CBF" w:rsidP="005D2CBF">
      <w:pPr>
        <w:jc w:val="both"/>
      </w:pPr>
    </w:p>
    <w:p w:rsidR="00152906" w:rsidRPr="005D2CBF" w:rsidRDefault="00152906" w:rsidP="005D2CBF">
      <w:pPr>
        <w:pStyle w:val="Heading1"/>
        <w:jc w:val="both"/>
        <w:rPr>
          <w:lang w:val="ru-RU"/>
        </w:rPr>
      </w:pPr>
      <w:r>
        <w:lastRenderedPageBreak/>
        <w:t>Russian</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b/>
          <w:bCs/>
          <w:color w:val="1A1C1E"/>
          <w:sz w:val="21"/>
          <w:szCs w:val="21"/>
          <w:lang w:val="ru-RU"/>
        </w:rPr>
        <w:t>Разрешения на землепользование и зонирование</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b/>
          <w:bCs/>
          <w:color w:val="1A1C1E"/>
          <w:sz w:val="21"/>
          <w:szCs w:val="21"/>
          <w:lang w:val="ru-RU"/>
        </w:rPr>
        <w:t>Раскрытие потенциала недвижимости: Навигация по генеральному плану</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Земельный участок — это больше, чем просто почва и пространство; это холст с потенциалом, ценность которого полностью определяется тем, что по закону разрешено на нем построить.</w:t>
      </w:r>
      <w:r>
        <w:rPr>
          <w:rStyle w:val="ng-star-inserted1"/>
          <w:rFonts w:ascii="Helvetica Neue" w:hAnsi="Helvetica Neue"/>
          <w:color w:val="1A1C1E"/>
          <w:sz w:val="21"/>
          <w:szCs w:val="21"/>
        </w:rPr>
        <w:t> </w:t>
      </w:r>
      <w:r w:rsidRPr="005D2CBF">
        <w:rPr>
          <w:rStyle w:val="ng-star-inserted1"/>
          <w:rFonts w:ascii="Helvetica Neue" w:hAnsi="Helvetica Neue"/>
          <w:b/>
          <w:bCs/>
          <w:color w:val="1A1C1E"/>
          <w:sz w:val="21"/>
          <w:szCs w:val="21"/>
          <w:lang w:val="ru-RU"/>
        </w:rPr>
        <w:t>Разрешения на землепользование и зонирование</w:t>
      </w:r>
      <w:r>
        <w:rPr>
          <w:rStyle w:val="ng-star-inserted1"/>
          <w:rFonts w:ascii="Helvetica Neue" w:hAnsi="Helvetica Neue"/>
          <w:color w:val="1A1C1E"/>
          <w:sz w:val="21"/>
          <w:szCs w:val="21"/>
        </w:rPr>
        <w:t> </w:t>
      </w:r>
      <w:r w:rsidRPr="005D2CBF">
        <w:rPr>
          <w:rStyle w:val="ng-star-inserted1"/>
          <w:rFonts w:ascii="Helvetica Neue" w:hAnsi="Helvetica Neue"/>
          <w:color w:val="1A1C1E"/>
          <w:sz w:val="21"/>
          <w:szCs w:val="21"/>
          <w:lang w:val="ru-RU"/>
        </w:rPr>
        <w:t>— это юридические ключи, которые открывают этот потенциал. Эти правила, закрепленные в муниципальных генеральных планах и постановлениях о зонировании, определяют все, от высоты и плотности застройки до разрешенных видов коммерческой деятельности. Навигация в этом правовом ландшафте — первый и самый важный шаг в любом девелоперском проекте. Наша компания предоставляет экспертное юридическое руководство, необходимое для согласования вашего видения с этими генеральными планами, обеспечивая возможность максимизировать стоимость вашей собственности и двигаться вперед к вашим девелоперским целям.</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Мы оказываем существенную</w:t>
      </w:r>
      <w:r>
        <w:rPr>
          <w:rStyle w:val="ng-star-inserted1"/>
          <w:rFonts w:ascii="Helvetica Neue" w:hAnsi="Helvetica Neue"/>
          <w:color w:val="1A1C1E"/>
          <w:sz w:val="21"/>
          <w:szCs w:val="21"/>
        </w:rPr>
        <w:t> </w:t>
      </w:r>
      <w:r w:rsidRPr="005D2CBF">
        <w:rPr>
          <w:rStyle w:val="ng-star-inserted1"/>
          <w:rFonts w:ascii="Helvetica Neue" w:hAnsi="Helvetica Neue"/>
          <w:b/>
          <w:bCs/>
          <w:color w:val="1A1C1E"/>
          <w:sz w:val="21"/>
          <w:szCs w:val="21"/>
          <w:lang w:val="ru-RU"/>
        </w:rPr>
        <w:t>юридическую поддержку в получении всех необходимых разрешений на землепользование и зонирование</w:t>
      </w:r>
      <w:r w:rsidRPr="005D2CBF">
        <w:rPr>
          <w:rStyle w:val="ng-star-inserted1"/>
          <w:rFonts w:ascii="Helvetica Neue" w:hAnsi="Helvetica Neue"/>
          <w:color w:val="1A1C1E"/>
          <w:sz w:val="21"/>
          <w:szCs w:val="21"/>
          <w:lang w:val="ru-RU"/>
        </w:rPr>
        <w:t>. Это начинается с тщательной предварительной проверки (</w:t>
      </w:r>
      <w:r>
        <w:rPr>
          <w:rStyle w:val="ng-star-inserted1"/>
          <w:rFonts w:ascii="Helvetica Neue" w:hAnsi="Helvetica Neue"/>
          <w:color w:val="1A1C1E"/>
          <w:sz w:val="21"/>
          <w:szCs w:val="21"/>
        </w:rPr>
        <w:t>due</w:t>
      </w:r>
      <w:r w:rsidRPr="005D2CBF">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diligence</w:t>
      </w:r>
      <w:r w:rsidRPr="005D2CBF">
        <w:rPr>
          <w:rStyle w:val="ng-star-inserted1"/>
          <w:rFonts w:ascii="Helvetica Neue" w:hAnsi="Helvetica Neue"/>
          <w:color w:val="1A1C1E"/>
          <w:sz w:val="21"/>
          <w:szCs w:val="21"/>
          <w:lang w:val="ru-RU"/>
        </w:rPr>
        <w:t>) перед покупкой или застройкой, в ходе которой мы анализируем существующий статус зонирования и планы землепользования, влияющие на вашу собственность. Мы определяем, что возможно «по праву», и, что более важно, мы намечаем стратегический путь для получения отклонений, разрешений на условное использование или изменений в зонировании, чтобы ваш конкретный проект стал реальностью.</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Наши услуги основаны на проактивных</w:t>
      </w:r>
      <w:r>
        <w:rPr>
          <w:rStyle w:val="ng-star-inserted1"/>
          <w:rFonts w:ascii="Helvetica Neue" w:hAnsi="Helvetica Neue"/>
          <w:color w:val="1A1C1E"/>
          <w:sz w:val="21"/>
          <w:szCs w:val="21"/>
        </w:rPr>
        <w:t> </w:t>
      </w:r>
      <w:r w:rsidRPr="005D2CBF">
        <w:rPr>
          <w:rStyle w:val="ng-star-inserted1"/>
          <w:rFonts w:ascii="Helvetica Neue" w:hAnsi="Helvetica Neue"/>
          <w:b/>
          <w:bCs/>
          <w:color w:val="1A1C1E"/>
          <w:sz w:val="21"/>
          <w:szCs w:val="21"/>
          <w:lang w:val="ru-RU"/>
        </w:rPr>
        <w:t>консультациях по соблюдению законов о зонировании, планов землепользования и общественных стандартов</w:t>
      </w:r>
      <w:r w:rsidRPr="005D2CBF">
        <w:rPr>
          <w:rStyle w:val="ng-star-inserted1"/>
          <w:rFonts w:ascii="Helvetica Neue" w:hAnsi="Helvetica Neue"/>
          <w:color w:val="1A1C1E"/>
          <w:sz w:val="21"/>
          <w:szCs w:val="21"/>
          <w:lang w:val="ru-RU"/>
        </w:rPr>
        <w:t>. Мы интерпретируем сложный юридический кодекс, консультируя ваших архитекторов и планировщиков о том, как спроектировать проект, который не только соответствует букве закона, но и согласуется с целями развития сообщества, что значительно увеличивает вероятность гладкого процесса утверждения.</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Когда публичные слушания или споры неизбежны, наша защита непоколебима. Мы обеспечиваем экспертное</w:t>
      </w:r>
      <w:r>
        <w:rPr>
          <w:rStyle w:val="ng-star-inserted1"/>
          <w:rFonts w:ascii="Helvetica Neue" w:hAnsi="Helvetica Neue"/>
          <w:color w:val="1A1C1E"/>
          <w:sz w:val="21"/>
          <w:szCs w:val="21"/>
        </w:rPr>
        <w:t> </w:t>
      </w:r>
      <w:r w:rsidRPr="005D2CBF">
        <w:rPr>
          <w:rStyle w:val="ng-star-inserted1"/>
          <w:rFonts w:ascii="Helvetica Neue" w:hAnsi="Helvetica Neue"/>
          <w:b/>
          <w:bCs/>
          <w:color w:val="1A1C1E"/>
          <w:sz w:val="21"/>
          <w:szCs w:val="21"/>
          <w:lang w:val="ru-RU"/>
        </w:rPr>
        <w:t>представительство на слушаниях в советах по зонированию, в апелляциях и спорах</w:t>
      </w:r>
      <w:r w:rsidRPr="005D2CBF">
        <w:rPr>
          <w:rStyle w:val="ng-star-inserted1"/>
          <w:rFonts w:ascii="Helvetica Neue" w:hAnsi="Helvetica Neue"/>
          <w:color w:val="1A1C1E"/>
          <w:sz w:val="21"/>
          <w:szCs w:val="21"/>
          <w:lang w:val="ru-RU"/>
        </w:rPr>
        <w:t>. Мы готовим и представляем убедительное, основанное на доказательствах дело по вашему проекту, разъясняя его преимущества и отвечая на любые опасения. Будь то получение первоначального утверждения, обжалование отказа или защита вашего проекта от оспаривания, мы — ваш сильный голос на форумах, которые решают судьбу вашей собственности.</w:t>
      </w:r>
    </w:p>
    <w:p w:rsidR="005D2CBF" w:rsidRPr="005D2CBF" w:rsidRDefault="005D2CBF" w:rsidP="005D2CBF">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Позвольте нам раскрыть юридический потенциал вашей земли, чтобы вы могли раскрыть ее коммерческую ценность.</w:t>
      </w:r>
    </w:p>
    <w:p w:rsidR="00152906" w:rsidRPr="005D2CBF" w:rsidRDefault="005D2CBF" w:rsidP="005D2CBF">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5D2CBF">
        <w:rPr>
          <w:rStyle w:val="ng-star-inserted1"/>
          <w:rFonts w:ascii="Helvetica Neue" w:hAnsi="Helvetica Neue"/>
          <w:color w:val="1A1C1E"/>
          <w:sz w:val="21"/>
          <w:szCs w:val="21"/>
          <w:lang w:val="ru-RU"/>
        </w:rPr>
        <w:t>Чтобы стратегически ориентироваться в процессе зонирования и реализовать весь потенциал вашей собственности, свяжитесь с нашей компанией.</w:t>
      </w:r>
    </w:p>
    <w:p w:rsidR="00715EF3" w:rsidRDefault="00562FB7" w:rsidP="005D2CBF">
      <w:pPr>
        <w:jc w:val="both"/>
        <w:rPr>
          <w:lang w:val="ru-RU"/>
        </w:rPr>
      </w:pPr>
    </w:p>
    <w:p w:rsidR="00562FB7" w:rsidRDefault="00562FB7" w:rsidP="005D2CBF">
      <w:pPr>
        <w:jc w:val="both"/>
        <w:rPr>
          <w:lang w:val="ru-RU"/>
        </w:rPr>
      </w:pPr>
    </w:p>
    <w:p w:rsidR="00562FB7" w:rsidRDefault="00562FB7" w:rsidP="00562FB7">
      <w:pPr>
        <w:pStyle w:val="Heading3"/>
      </w:pPr>
      <w:r>
        <w:t>ნაწილი 1: ვებსაიტის კონტენტ</w:t>
      </w:r>
      <w:r>
        <w:rPr>
          <w:rFonts w:ascii="Sylfaen" w:hAnsi="Sylfaen" w:cs="Sylfaen"/>
        </w:rPr>
        <w:t>ი</w:t>
      </w:r>
    </w:p>
    <w:p w:rsidR="00562FB7" w:rsidRDefault="00562FB7" w:rsidP="00562FB7">
      <w:r>
        <w:pict>
          <v:rect id="_x0000_i1025" style="width:0;height:1.5pt" o:hralign="center" o:hrstd="t" o:hr="t" fillcolor="#a0a0a0" stroked="f"/>
        </w:pict>
      </w:r>
    </w:p>
    <w:p w:rsidR="00562FB7" w:rsidRDefault="00562FB7" w:rsidP="00562FB7">
      <w:r>
        <w:rPr>
          <w:b/>
          <w:bCs/>
        </w:rPr>
        <w:t>(GEORGIAN)</w:t>
      </w:r>
    </w:p>
    <w:p w:rsidR="00562FB7" w:rsidRDefault="00562FB7" w:rsidP="00562FB7">
      <w:r>
        <w:rPr>
          <w:b/>
          <w:bCs/>
        </w:rPr>
        <w:t>Title:</w:t>
      </w:r>
      <w:r>
        <w:br/>
        <w:t>მიწათსარგებლობისა და ზონირების ნებართვები: თქვენი ქონების პოტენციალის სრული რეალიზაცი</w:t>
      </w:r>
      <w:r>
        <w:rPr>
          <w:rFonts w:ascii="Sylfaen" w:hAnsi="Sylfaen" w:cs="Sylfaen"/>
        </w:rPr>
        <w:t>ა</w:t>
      </w:r>
    </w:p>
    <w:p w:rsidR="00562FB7" w:rsidRDefault="00562FB7" w:rsidP="00562FB7">
      <w:r>
        <w:rPr>
          <w:b/>
          <w:bCs/>
        </w:rPr>
        <w:t>Short Description:</w:t>
      </w:r>
      <w:r>
        <w:br/>
        <w:t>მიწის ღირებულება მისი პოტენციალით განისაზღვრება. Legal Sandbox Georgia ხსნის ამ პოტენციალის სამართლებრივ ბერკეტებს, უზრუნველყოფს რა თქვენი დეველოპერული ხედვის შესაბამისობას თბილისის მიწათსარგებლობის გენერალურ გეგმასთან და ზონირების რეგულაციებთან.</w:t>
      </w:r>
    </w:p>
    <w:p w:rsidR="00562FB7" w:rsidRDefault="00562FB7" w:rsidP="00562FB7">
      <w:r>
        <w:rPr>
          <w:b/>
          <w:bCs/>
        </w:rPr>
        <w:t>Full Content:</w:t>
      </w:r>
      <w:r>
        <w:br/>
        <w:t>მიწის ნაკვეთი მეტია, ვიდრე უბრალოდ ტერიტორია; ეს არის პოტენციალის ტილო, რომლის ღირებულებაც მთლიანად იმით განისაზღვრება, თუ რის აშენების უფლებას იძლევა კანონი. მიწათსარგებლობისა და ზონირების ნებართვები არის იურიდიული გასაღები, რომელიც ამ პოტენციალს ხსნის. ეს წესები, რომლებიც ასახულია მუნიციპალურ გენერალურ გეგმებსა და ზონირების დადგენილებებში, განსაზღვრავს ყველაფერს, შენობის სიმაღლიდან და განაშენიანების კოეფიციენტებიდან დაწყებული, დასაშვები კომერციული საქმიანობით დამთავრებული. ამ სამართლებრივი ლანდშაფტის ნავიგაცია პირველი და ყველაზე კრიტიკული ნაბიჯია ნებისმიერ დეველოპერულ პროექტში. ჩვენი კომპანია გთავაზობთ იმ საექსპერტო იურიდიულ კონსულტაციას, რომელიც აუცილებელია თქვენი ხედვის გენერალურ გეგმასთან ჰარმონიზაციისთვის.</w:t>
      </w:r>
    </w:p>
    <w:p w:rsidR="00562FB7" w:rsidRDefault="00562FB7" w:rsidP="00562FB7">
      <w:r>
        <w:t>ჩვენ გთავაზობთ არსებით იურიდიულ მხარდაჭერას მიწათსარგებლობისა და ზონირების ყველა საჭირო ნებართვის მოსაპოვებლად. პროცესი იწყება სიღრმისეული წინასწარი კვლევით (Due Diligence), რომლის დროსაც ვაანალიზებთ თქვენს ქონებაზე მოქმედ ზონირების სტატუსსა და მიწათსარგებლობის გეგმებს. ჩვენ ვადგენთ, რა არის შესაძლებელი „კანონის ძალით“ და, რაც მთავარია, ვსახავთ სტრატეგიულ გზას ზონალური ცვლილების, სპეციალური (ზონალური) შეთანხმების ან განაშენიანების რეგულირების გეგმის (გრგ) დამტკიცებისთვის. ჩვენი პროაქტიული კონსულტაცია ეხმარება თქვენს არქიტექტორებსა და დამგეგმავებს შექმნან პროექტი, რომელიც შეესაბამება საზოგადოების განვითარების მიზნებს და მნიშვნელოვნად ზრდის დამტკიცების ალბათობას.</w:t>
      </w:r>
    </w:p>
    <w:p w:rsidR="00562FB7" w:rsidRDefault="00562FB7" w:rsidP="00562FB7">
      <w:r>
        <w:t>როდესაც საჯარო მოსმენა ან დავა გარდაუვალია, ჩვენი წარმომადგენლობა მტკიცე და ეფექტიანია. ჩვენ გთავაზობთ საექსპერტო წარმომადგენლობას ზონირების საბჭოს მოსმენებზე, გასაჩივრებებსა და დავებში. ჩვენ ვამზადებთ და წარმოვადგენთ თქვენი პროექტის დამაჯერებელ, მტკიცებულებებზე დაფუძნებულ საქმეს, განვმარტავთ მის სარგებელს და ვპასუხობთ ყველა კითხვას. იქნება ეს პირველადი დამტკიცების მოპოვება, უარის გასაჩივრება, თუ თქვენი პროექტის დაცვა, ჩვენ ვართ თქვენი მძლავრი ხმა იმ ინსტანციებში, რომლებიც წყვეტენ თქვენი ქონების ბედს.</w:t>
      </w:r>
    </w:p>
    <w:p w:rsidR="00562FB7" w:rsidRDefault="00562FB7" w:rsidP="00562FB7">
      <w:r>
        <w:pict>
          <v:rect id="_x0000_i1026" style="width:0;height:1.5pt" o:hralign="center" o:hrstd="t" o:hr="t" fillcolor="#a0a0a0" stroked="f"/>
        </w:pict>
      </w:r>
    </w:p>
    <w:p w:rsidR="00562FB7" w:rsidRDefault="00562FB7" w:rsidP="00562FB7">
      <w:r>
        <w:rPr>
          <w:b/>
          <w:bCs/>
        </w:rPr>
        <w:lastRenderedPageBreak/>
        <w:t>(ENGLISH)</w:t>
      </w:r>
    </w:p>
    <w:p w:rsidR="00562FB7" w:rsidRDefault="00562FB7" w:rsidP="00562FB7">
      <w:r>
        <w:rPr>
          <w:b/>
          <w:bCs/>
        </w:rPr>
        <w:t>Title:</w:t>
      </w:r>
      <w:r>
        <w:br/>
        <w:t>Land Use &amp; Zoning Permits: Unlocking Your Property's Full Potential</w:t>
      </w:r>
    </w:p>
    <w:p w:rsidR="00562FB7" w:rsidRDefault="00562FB7" w:rsidP="00562FB7">
      <w:r>
        <w:rPr>
          <w:b/>
          <w:bCs/>
        </w:rPr>
        <w:t>Short Description:</w:t>
      </w:r>
      <w:r>
        <w:br/>
        <w:t>The value of land is defined by its potential. Legal Sandbox Georgia unlocks the legal levers to this potential, aligning your development vision with Tbilisi's General Land Use Plan and zoning regulations.</w:t>
      </w:r>
    </w:p>
    <w:p w:rsidR="00562FB7" w:rsidRDefault="00562FB7" w:rsidP="00562FB7">
      <w:r>
        <w:rPr>
          <w:b/>
          <w:bCs/>
        </w:rPr>
        <w:t>Full Content:</w:t>
      </w:r>
      <w:r>
        <w:br/>
        <w:t>A parcel of land is more than just soil and space; it is a canvas of potential whose value is defined entirely by what the law allows to be built upon it. Land use and zoning permits are the legal keys that unlock this potential. These rules, enshrined in municipal master plans and zoning ordinances, dictate everything from building height and development coefficients to permissible commercial activities. Navigating this legal landscape is the first and most critical step in any development project. Our firm provides the expert legal guidance needed to harmonize your vision with the master plan.</w:t>
      </w:r>
    </w:p>
    <w:p w:rsidR="00562FB7" w:rsidRDefault="00562FB7" w:rsidP="00562FB7">
      <w:r>
        <w:t>We provide essential legal support in obtaining all necessary land use and zoning permits. The process begins with in-depth pre-development Due Diligence, where we analyze the existing zoning status and land use plans affecting your property. We identify what is possible "as of right" and, more importantly, map out the strategic path for securing a zoning change, special (zonal) agreement, or the approval of a Development Regulation Plan (DRP). Our proactive counsel helps your architects and planners design a project that aligns with community development goals, significantly increasing the likelihood of a smooth approval.</w:t>
      </w:r>
    </w:p>
    <w:p w:rsidR="00562FB7" w:rsidRDefault="00562FB7" w:rsidP="00562FB7">
      <w:r>
        <w:t>When a public hearing or a dispute is unavoidable, our advocacy is formidable and effective. We provide expert representation in zoning board hearings, appeals, and disputes. We prepare and present a compelling, evidence-based case for your project, articulating its benefits and addressing all concerns. Whether seeking initial approval, appealing a denial, or defending your project, we are your powerful voice in the forums that will decide your property’s fate.</w:t>
      </w:r>
    </w:p>
    <w:p w:rsidR="00562FB7" w:rsidRDefault="00562FB7" w:rsidP="00562FB7">
      <w:r>
        <w:pict>
          <v:rect id="_x0000_i1027" style="width:0;height:1.5pt" o:hralign="center" o:hrstd="t" o:hr="t" fillcolor="#a0a0a0" stroked="f"/>
        </w:pict>
      </w:r>
    </w:p>
    <w:p w:rsidR="00562FB7" w:rsidRDefault="00562FB7" w:rsidP="00562FB7">
      <w:r>
        <w:rPr>
          <w:b/>
          <w:bCs/>
        </w:rPr>
        <w:t>(RUSSIAN)</w:t>
      </w:r>
    </w:p>
    <w:p w:rsidR="00562FB7" w:rsidRDefault="00562FB7" w:rsidP="00562FB7">
      <w:r>
        <w:rPr>
          <w:b/>
          <w:bCs/>
        </w:rPr>
        <w:t>Title:</w:t>
      </w:r>
      <w:r>
        <w:br/>
        <w:t>Разрешения на землепользование и зонирование: Полная реализация потенциала вашей недвижимости</w:t>
      </w:r>
    </w:p>
    <w:p w:rsidR="00562FB7" w:rsidRDefault="00562FB7" w:rsidP="00562FB7">
      <w:r>
        <w:rPr>
          <w:b/>
          <w:bCs/>
        </w:rPr>
        <w:t>Short Description:</w:t>
      </w:r>
      <w:r>
        <w:br/>
        <w:t>Ценность земли определяется ее потенциалом. Legal Sandbox Georgia открывает правовые рычаги этого потенциала, согласовывая ваше девелоперское видение с Генеральным планом землепользования Тбилиси и правилами зонирования.</w:t>
      </w:r>
    </w:p>
    <w:p w:rsidR="00562FB7" w:rsidRDefault="00562FB7" w:rsidP="00562FB7">
      <w:r>
        <w:rPr>
          <w:b/>
          <w:bCs/>
        </w:rPr>
        <w:t>Full Content:</w:t>
      </w:r>
      <w:r>
        <w:br/>
        <w:t xml:space="preserve">Земельный участок — это больше, чем просто территория; это холст с потенциалом, ценность которого полностью определяется тем, что по закону разрешено на нем построить. Разрешения на землепользование и зонирование — это юридические ключи, открывающие этот потенциал. Эти правила, закрепленные в муниципальных генеральных планах и постановлениях о зонировании, </w:t>
      </w:r>
      <w:r>
        <w:lastRenderedPageBreak/>
        <w:t>определяют все: от высоты здания и коэффициентов застройки до разрешенных видов коммерческой деятельности. Навигация в этом правовом ландшафте — первый и самый важный шаг в любом девелоперском проекте. Наша компания предоставляет экспертное юридическое руководство, необходимое для гармонизации вашего видения с генеральным планом.</w:t>
      </w:r>
    </w:p>
    <w:p w:rsidR="00562FB7" w:rsidRDefault="00562FB7" w:rsidP="00562FB7">
      <w:r>
        <w:t>Мы оказываем существенную юридическую поддержку в получении всех необходимых разрешений на землепользование и зонирование. Процесс начинается с глубокой предварительной проверки (Due Diligence), в ходе которой мы анализируем статус зонирования и планы землепользования, действующие для вашей недвижимости. Мы определяем, что возможно «по праву», и, что более важно, намечаем стратегический путь для изменения зонирования, получения специального (зонального) соглашения или утверждения Плана регулирования застройки (ПРЗ). Наши проактивные консультации помогают вашим архитекторам и планировщикам создать проект, который соответствует целям развития общества и значительно увеличивает вероятность утверждения.</w:t>
      </w:r>
    </w:p>
    <w:p w:rsidR="00562FB7" w:rsidRDefault="00562FB7" w:rsidP="00562FB7">
      <w:r>
        <w:t>Когда публичные слушания или споры неизбежны, наше представительство является твердым и эффективным. Мы обеспечиваем экспертное представительство на слушаниях в советах по зонированию, в апелляциях и спорах. Мы готовим и представляем убедительное, основанное на доказательствах дело по вашему проекту, разъясняя его преимущества и отвечая на все вопросы. Будь то получение первоначального утверждения, обжалование отказа или защита вашего проекта, мы — ваш сильный голос в инстанциях, решающих судьбу вашей собственности.</w:t>
      </w:r>
    </w:p>
    <w:p w:rsidR="00562FB7" w:rsidRDefault="00562FB7" w:rsidP="00562FB7">
      <w:r>
        <w:pict>
          <v:rect id="_x0000_i1028" style="width:0;height:1.5pt" o:hralign="center" o:hrstd="t" o:hr="t" fillcolor="#a0a0a0" stroked="f"/>
        </w:pict>
      </w:r>
    </w:p>
    <w:p w:rsidR="00562FB7" w:rsidRDefault="00562FB7" w:rsidP="00562FB7">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121"/>
        <w:gridCol w:w="5862"/>
      </w:tblGrid>
      <w:tr w:rsidR="00562FB7" w:rsidTr="00562FB7">
        <w:trPr>
          <w:tblCellSpacing w:w="15" w:type="dxa"/>
        </w:trPr>
        <w:tc>
          <w:tcPr>
            <w:tcW w:w="0" w:type="auto"/>
            <w:vAlign w:val="center"/>
            <w:hideMark/>
          </w:tcPr>
          <w:p w:rsidR="00562FB7" w:rsidRDefault="00562FB7">
            <w:r>
              <w:t>Language</w:t>
            </w:r>
          </w:p>
        </w:tc>
        <w:tc>
          <w:tcPr>
            <w:tcW w:w="0" w:type="auto"/>
            <w:vAlign w:val="center"/>
            <w:hideMark/>
          </w:tcPr>
          <w:p w:rsidR="00562FB7" w:rsidRDefault="00562FB7">
            <w:r>
              <w:t>Category</w:t>
            </w:r>
          </w:p>
        </w:tc>
        <w:tc>
          <w:tcPr>
            <w:tcW w:w="0" w:type="auto"/>
            <w:vAlign w:val="center"/>
            <w:hideMark/>
          </w:tcPr>
          <w:p w:rsidR="00562FB7" w:rsidRDefault="00562FB7">
            <w:r>
              <w:t>Value</w:t>
            </w:r>
          </w:p>
        </w:tc>
      </w:tr>
      <w:tr w:rsidR="00562FB7" w:rsidTr="00562FB7">
        <w:trPr>
          <w:tblCellSpacing w:w="15" w:type="dxa"/>
        </w:trPr>
        <w:tc>
          <w:tcPr>
            <w:tcW w:w="0" w:type="auto"/>
            <w:vAlign w:val="center"/>
            <w:hideMark/>
          </w:tcPr>
          <w:p w:rsidR="00562FB7" w:rsidRDefault="00562FB7">
            <w:r>
              <w:rPr>
                <w:b/>
                <w:bCs/>
              </w:rPr>
              <w:t>Georgian (</w:t>
            </w:r>
            <w:r>
              <w:rPr>
                <w:rFonts w:ascii="Sylfaen" w:hAnsi="Sylfaen" w:cs="Sylfaen"/>
                <w:b/>
                <w:bCs/>
              </w:rPr>
              <w:t>ქართული</w:t>
            </w:r>
            <w:r>
              <w:rPr>
                <w:b/>
                <w:bCs/>
              </w:rPr>
              <w:t>)</w:t>
            </w:r>
          </w:p>
        </w:tc>
        <w:tc>
          <w:tcPr>
            <w:tcW w:w="0" w:type="auto"/>
            <w:vAlign w:val="center"/>
            <w:hideMark/>
          </w:tcPr>
          <w:p w:rsidR="00562FB7" w:rsidRDefault="00562FB7">
            <w:r>
              <w:t>MetaKeywords</w:t>
            </w:r>
          </w:p>
        </w:tc>
        <w:tc>
          <w:tcPr>
            <w:tcW w:w="0" w:type="auto"/>
            <w:vAlign w:val="center"/>
            <w:hideMark/>
          </w:tcPr>
          <w:p w:rsidR="00562FB7" w:rsidRDefault="00562FB7">
            <w:r>
              <w:rPr>
                <w:rFonts w:ascii="Sylfaen" w:hAnsi="Sylfaen" w:cs="Sylfaen"/>
              </w:rPr>
              <w:t>მიწის</w:t>
            </w:r>
            <w:r>
              <w:t xml:space="preserve"> </w:t>
            </w:r>
            <w:r>
              <w:rPr>
                <w:rFonts w:ascii="Sylfaen" w:hAnsi="Sylfaen" w:cs="Sylfaen"/>
              </w:rPr>
              <w:t>ზონირება</w:t>
            </w:r>
            <w:r>
              <w:t xml:space="preserve">, </w:t>
            </w:r>
            <w:r>
              <w:rPr>
                <w:rFonts w:ascii="Sylfaen" w:hAnsi="Sylfaen" w:cs="Sylfaen"/>
              </w:rPr>
              <w:t>მიწათსარგებლობის</w:t>
            </w:r>
            <w:r>
              <w:t xml:space="preserve"> </w:t>
            </w:r>
            <w:r>
              <w:rPr>
                <w:rFonts w:ascii="Sylfaen" w:hAnsi="Sylfaen" w:cs="Sylfaen"/>
              </w:rPr>
              <w:t>გენერალური</w:t>
            </w:r>
            <w:r>
              <w:t xml:space="preserve"> </w:t>
            </w:r>
            <w:r>
              <w:rPr>
                <w:rFonts w:ascii="Sylfaen" w:hAnsi="Sylfaen" w:cs="Sylfaen"/>
              </w:rPr>
              <w:t>გეგმა</w:t>
            </w:r>
            <w:r>
              <w:t xml:space="preserve">, </w:t>
            </w:r>
            <w:r>
              <w:rPr>
                <w:rFonts w:ascii="Sylfaen" w:hAnsi="Sylfaen" w:cs="Sylfaen"/>
              </w:rPr>
              <w:t>გრგ</w:t>
            </w:r>
            <w:r>
              <w:t xml:space="preserve"> </w:t>
            </w:r>
            <w:r>
              <w:rPr>
                <w:rFonts w:ascii="Sylfaen" w:hAnsi="Sylfaen" w:cs="Sylfaen"/>
              </w:rPr>
              <w:t>დამტკიცება</w:t>
            </w:r>
            <w:r>
              <w:t xml:space="preserve">, </w:t>
            </w:r>
            <w:r>
              <w:rPr>
                <w:rFonts w:ascii="Sylfaen" w:hAnsi="Sylfaen" w:cs="Sylfaen"/>
              </w:rPr>
              <w:t>სპეციალური</w:t>
            </w:r>
            <w:r>
              <w:t xml:space="preserve"> </w:t>
            </w:r>
            <w:r>
              <w:rPr>
                <w:rFonts w:ascii="Sylfaen" w:hAnsi="Sylfaen" w:cs="Sylfaen"/>
              </w:rPr>
              <w:t>ზონალური</w:t>
            </w:r>
            <w:r>
              <w:t xml:space="preserve"> </w:t>
            </w:r>
            <w:r>
              <w:rPr>
                <w:rFonts w:ascii="Sylfaen" w:hAnsi="Sylfaen" w:cs="Sylfaen"/>
              </w:rPr>
              <w:t>შეთანხმება</w:t>
            </w:r>
            <w:r>
              <w:t xml:space="preserve">, </w:t>
            </w:r>
            <w:r>
              <w:rPr>
                <w:rFonts w:ascii="Sylfaen" w:hAnsi="Sylfaen" w:cs="Sylfaen"/>
              </w:rPr>
              <w:t>განაშენიანების</w:t>
            </w:r>
            <w:r>
              <w:t xml:space="preserve"> </w:t>
            </w:r>
            <w:r>
              <w:rPr>
                <w:rFonts w:ascii="Sylfaen" w:hAnsi="Sylfaen" w:cs="Sylfaen"/>
              </w:rPr>
              <w:t>კოეფიციენტები</w:t>
            </w:r>
            <w:r>
              <w:t xml:space="preserve">, K1 K2, </w:t>
            </w:r>
            <w:r>
              <w:rPr>
                <w:rFonts w:ascii="Sylfaen" w:hAnsi="Sylfaen" w:cs="Sylfaen"/>
              </w:rPr>
              <w:t>მიწის</w:t>
            </w:r>
            <w:r>
              <w:t xml:space="preserve"> </w:t>
            </w:r>
            <w:r>
              <w:rPr>
                <w:rFonts w:ascii="Sylfaen" w:hAnsi="Sylfaen" w:cs="Sylfaen"/>
              </w:rPr>
              <w:t>სამართალი</w:t>
            </w:r>
            <w:r>
              <w:t xml:space="preserve">, </w:t>
            </w:r>
            <w:r>
              <w:rPr>
                <w:rFonts w:ascii="Sylfaen" w:hAnsi="Sylfaen" w:cs="Sylfaen"/>
              </w:rPr>
              <w:t>იურისტი</w:t>
            </w:r>
            <w:r>
              <w:t xml:space="preserve"> </w:t>
            </w:r>
            <w:r>
              <w:rPr>
                <w:rFonts w:ascii="Sylfaen" w:hAnsi="Sylfaen" w:cs="Sylfaen"/>
              </w:rPr>
              <w:t>დეველოპერებისთვის</w:t>
            </w:r>
            <w:r>
              <w:t xml:space="preserve"> </w:t>
            </w:r>
            <w:r>
              <w:rPr>
                <w:rFonts w:ascii="Sylfaen" w:hAnsi="Sylfaen" w:cs="Sylfaen"/>
              </w:rPr>
              <w:t>თბილისი</w:t>
            </w:r>
            <w:r>
              <w:t xml:space="preserve">, </w:t>
            </w:r>
            <w:r>
              <w:rPr>
                <w:rFonts w:ascii="Sylfaen" w:hAnsi="Sylfaen" w:cs="Sylfaen"/>
              </w:rPr>
              <w:t>მიწის</w:t>
            </w:r>
            <w:r>
              <w:t xml:space="preserve"> </w:t>
            </w:r>
            <w:r>
              <w:rPr>
                <w:rFonts w:ascii="Sylfaen" w:hAnsi="Sylfaen" w:cs="Sylfaen"/>
              </w:rPr>
              <w:t>ნაკვეთის</w:t>
            </w:r>
            <w:r>
              <w:t xml:space="preserve"> </w:t>
            </w:r>
            <w:r>
              <w:rPr>
                <w:rFonts w:ascii="Sylfaen" w:hAnsi="Sylfaen" w:cs="Sylfaen"/>
              </w:rPr>
              <w:t>სტატუსის</w:t>
            </w:r>
            <w:r>
              <w:t xml:space="preserve"> </w:t>
            </w:r>
            <w:r>
              <w:rPr>
                <w:rFonts w:ascii="Sylfaen" w:hAnsi="Sylfaen" w:cs="Sylfaen"/>
              </w:rPr>
              <w:t>შეცვლა</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MetaDescription</w:t>
            </w:r>
          </w:p>
        </w:tc>
        <w:tc>
          <w:tcPr>
            <w:tcW w:w="0" w:type="auto"/>
            <w:vAlign w:val="center"/>
            <w:hideMark/>
          </w:tcPr>
          <w:p w:rsidR="00562FB7" w:rsidRDefault="00562FB7">
            <w:r>
              <w:t xml:space="preserve">Legal Sandbox Georgia </w:t>
            </w:r>
            <w:r>
              <w:rPr>
                <w:rFonts w:ascii="Sylfaen" w:hAnsi="Sylfaen" w:cs="Sylfaen"/>
              </w:rPr>
              <w:t>გეხმარებათ</w:t>
            </w:r>
            <w:r>
              <w:t xml:space="preserve"> </w:t>
            </w:r>
            <w:r>
              <w:rPr>
                <w:rFonts w:ascii="Sylfaen" w:hAnsi="Sylfaen" w:cs="Sylfaen"/>
              </w:rPr>
              <w:t>მიწათსარგებლობისა</w:t>
            </w:r>
            <w:r>
              <w:t xml:space="preserve"> </w:t>
            </w:r>
            <w:r>
              <w:rPr>
                <w:rFonts w:ascii="Sylfaen" w:hAnsi="Sylfaen" w:cs="Sylfaen"/>
              </w:rPr>
              <w:t>და</w:t>
            </w:r>
            <w:r>
              <w:t xml:space="preserve"> </w:t>
            </w:r>
            <w:r>
              <w:rPr>
                <w:rFonts w:ascii="Sylfaen" w:hAnsi="Sylfaen" w:cs="Sylfaen"/>
              </w:rPr>
              <w:t>ზონირების</w:t>
            </w:r>
            <w:r>
              <w:t xml:space="preserve"> </w:t>
            </w:r>
            <w:r>
              <w:rPr>
                <w:rFonts w:ascii="Sylfaen" w:hAnsi="Sylfaen" w:cs="Sylfaen"/>
              </w:rPr>
              <w:t>ნებართვების</w:t>
            </w:r>
            <w:r>
              <w:t xml:space="preserve"> </w:t>
            </w:r>
            <w:r>
              <w:rPr>
                <w:rFonts w:ascii="Sylfaen" w:hAnsi="Sylfaen" w:cs="Sylfaen"/>
              </w:rPr>
              <w:t>მოპოვებაში</w:t>
            </w:r>
            <w:r>
              <w:t xml:space="preserve">,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ზონის</w:t>
            </w:r>
            <w:r>
              <w:t xml:space="preserve"> </w:t>
            </w:r>
            <w:r>
              <w:rPr>
                <w:rFonts w:ascii="Sylfaen" w:hAnsi="Sylfaen" w:cs="Sylfaen"/>
              </w:rPr>
              <w:t>ცვლილების</w:t>
            </w:r>
            <w:r>
              <w:t xml:space="preserve">, </w:t>
            </w:r>
            <w:r>
              <w:rPr>
                <w:rFonts w:ascii="Sylfaen" w:hAnsi="Sylfaen" w:cs="Sylfaen"/>
              </w:rPr>
              <w:t>გრგ</w:t>
            </w:r>
            <w:r>
              <w:t>-</w:t>
            </w:r>
            <w:r>
              <w:rPr>
                <w:rFonts w:ascii="Sylfaen" w:hAnsi="Sylfaen" w:cs="Sylfaen"/>
              </w:rPr>
              <w:t>ს</w:t>
            </w:r>
            <w:r>
              <w:t xml:space="preserve"> </w:t>
            </w:r>
            <w:r>
              <w:rPr>
                <w:rFonts w:ascii="Sylfaen" w:hAnsi="Sylfaen" w:cs="Sylfaen"/>
              </w:rPr>
              <w:t>და</w:t>
            </w:r>
            <w:r>
              <w:t xml:space="preserve"> </w:t>
            </w:r>
            <w:r>
              <w:rPr>
                <w:rFonts w:ascii="Sylfaen" w:hAnsi="Sylfaen" w:cs="Sylfaen"/>
              </w:rPr>
              <w:t>სპეციალური</w:t>
            </w:r>
            <w:r>
              <w:t xml:space="preserve"> </w:t>
            </w:r>
            <w:r>
              <w:rPr>
                <w:rFonts w:ascii="Sylfaen" w:hAnsi="Sylfaen" w:cs="Sylfaen"/>
              </w:rPr>
              <w:t>შეთანხმების</w:t>
            </w:r>
            <w:r>
              <w:t xml:space="preserve"> </w:t>
            </w:r>
            <w:r>
              <w:rPr>
                <w:rFonts w:ascii="Sylfaen" w:hAnsi="Sylfaen" w:cs="Sylfaen"/>
              </w:rPr>
              <w:t>პროცესში</w:t>
            </w:r>
            <w:r>
              <w:t>.</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OpenGraphTitle</w:t>
            </w:r>
          </w:p>
        </w:tc>
        <w:tc>
          <w:tcPr>
            <w:tcW w:w="0" w:type="auto"/>
            <w:vAlign w:val="center"/>
            <w:hideMark/>
          </w:tcPr>
          <w:p w:rsidR="00562FB7" w:rsidRDefault="00562FB7">
            <w:r>
              <w:rPr>
                <w:rFonts w:ascii="Sylfaen" w:hAnsi="Sylfaen" w:cs="Sylfaen"/>
              </w:rPr>
              <w:t>მიწათსარგებლობისა</w:t>
            </w:r>
            <w:r>
              <w:t xml:space="preserve"> </w:t>
            </w:r>
            <w:r>
              <w:rPr>
                <w:rFonts w:ascii="Sylfaen" w:hAnsi="Sylfaen" w:cs="Sylfaen"/>
              </w:rPr>
              <w:t>და</w:t>
            </w:r>
            <w:r>
              <w:t xml:space="preserve"> </w:t>
            </w:r>
            <w:r>
              <w:rPr>
                <w:rFonts w:ascii="Sylfaen" w:hAnsi="Sylfaen" w:cs="Sylfaen"/>
              </w:rPr>
              <w:t>ზონირების</w:t>
            </w:r>
            <w:r>
              <w:t xml:space="preserve"> </w:t>
            </w:r>
            <w:r>
              <w:rPr>
                <w:rFonts w:ascii="Sylfaen" w:hAnsi="Sylfaen" w:cs="Sylfaen"/>
              </w:rPr>
              <w:t>ნებართვები</w:t>
            </w:r>
            <w:r>
              <w:t xml:space="preserve"> </w:t>
            </w:r>
            <w:r>
              <w:rPr>
                <w:rFonts w:ascii="Sylfaen" w:hAnsi="Sylfaen" w:cs="Sylfaen"/>
              </w:rPr>
              <w:t>თბილისში</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OpenGraphDescription</w:t>
            </w:r>
          </w:p>
        </w:tc>
        <w:tc>
          <w:tcPr>
            <w:tcW w:w="0" w:type="auto"/>
            <w:vAlign w:val="center"/>
            <w:hideMark/>
          </w:tcPr>
          <w:p w:rsidR="00562FB7" w:rsidRDefault="00562FB7">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დეველოპერული</w:t>
            </w:r>
            <w:r>
              <w:t xml:space="preserve"> </w:t>
            </w:r>
            <w:r>
              <w:rPr>
                <w:rFonts w:ascii="Sylfaen" w:hAnsi="Sylfaen" w:cs="Sylfaen"/>
              </w:rPr>
              <w:t>პროექტის</w:t>
            </w:r>
            <w:r>
              <w:t xml:space="preserve"> </w:t>
            </w:r>
            <w:r>
              <w:rPr>
                <w:rFonts w:ascii="Sylfaen" w:hAnsi="Sylfaen" w:cs="Sylfaen"/>
              </w:rPr>
              <w:t>შესაბამისობას</w:t>
            </w:r>
            <w:r>
              <w:t xml:space="preserve"> </w:t>
            </w:r>
            <w:r>
              <w:rPr>
                <w:rFonts w:ascii="Sylfaen" w:hAnsi="Sylfaen" w:cs="Sylfaen"/>
              </w:rPr>
              <w:t>თბილისის</w:t>
            </w:r>
            <w:r>
              <w:t xml:space="preserve"> </w:t>
            </w:r>
            <w:r>
              <w:rPr>
                <w:rFonts w:ascii="Sylfaen" w:hAnsi="Sylfaen" w:cs="Sylfaen"/>
              </w:rPr>
              <w:t>გენგეგმასთან</w:t>
            </w:r>
            <w:r>
              <w:t xml:space="preserve"> </w:t>
            </w:r>
            <w:r>
              <w:rPr>
                <w:rFonts w:ascii="Sylfaen" w:hAnsi="Sylfaen" w:cs="Sylfaen"/>
              </w:rPr>
              <w:t>და</w:t>
            </w:r>
            <w:r>
              <w:t xml:space="preserve"> </w:t>
            </w:r>
            <w:r>
              <w:rPr>
                <w:rFonts w:ascii="Sylfaen" w:hAnsi="Sylfaen" w:cs="Sylfaen"/>
              </w:rPr>
              <w:t>ვმართავთ</w:t>
            </w:r>
            <w:r>
              <w:t xml:space="preserve"> </w:t>
            </w:r>
            <w:r>
              <w:rPr>
                <w:rFonts w:ascii="Sylfaen" w:hAnsi="Sylfaen" w:cs="Sylfaen"/>
              </w:rPr>
              <w:t>ზონირების</w:t>
            </w:r>
            <w:r>
              <w:t xml:space="preserve"> </w:t>
            </w:r>
            <w:r>
              <w:rPr>
                <w:rFonts w:ascii="Sylfaen" w:hAnsi="Sylfaen" w:cs="Sylfaen"/>
              </w:rPr>
              <w:t>რთულ</w:t>
            </w:r>
            <w:r>
              <w:t xml:space="preserve"> </w:t>
            </w:r>
            <w:r>
              <w:rPr>
                <w:rFonts w:ascii="Sylfaen" w:hAnsi="Sylfaen" w:cs="Sylfaen"/>
              </w:rPr>
              <w:t>პროცესს</w:t>
            </w:r>
            <w:r>
              <w:t xml:space="preserve"> </w:t>
            </w:r>
            <w:r>
              <w:rPr>
                <w:rFonts w:ascii="Sylfaen" w:hAnsi="Sylfaen" w:cs="Sylfaen"/>
              </w:rPr>
              <w:t>თქვენი</w:t>
            </w:r>
            <w:r>
              <w:t xml:space="preserve"> </w:t>
            </w:r>
            <w:r>
              <w:rPr>
                <w:rFonts w:ascii="Sylfaen" w:hAnsi="Sylfaen" w:cs="Sylfaen"/>
              </w:rPr>
              <w:t>ქონების</w:t>
            </w:r>
            <w:r>
              <w:t xml:space="preserve"> </w:t>
            </w:r>
            <w:r>
              <w:rPr>
                <w:rFonts w:ascii="Sylfaen" w:hAnsi="Sylfaen" w:cs="Sylfaen"/>
              </w:rPr>
              <w:t>პოტენციალის</w:t>
            </w:r>
            <w:r>
              <w:t xml:space="preserve"> </w:t>
            </w:r>
            <w:r>
              <w:rPr>
                <w:rFonts w:ascii="Sylfaen" w:hAnsi="Sylfaen" w:cs="Sylfaen"/>
              </w:rPr>
              <w:t>მაქსიმიზაციისთვის</w:t>
            </w:r>
            <w:r>
              <w:t>.</w:t>
            </w:r>
          </w:p>
        </w:tc>
      </w:tr>
      <w:tr w:rsidR="00562FB7" w:rsidTr="00562FB7">
        <w:trPr>
          <w:tblCellSpacing w:w="15" w:type="dxa"/>
        </w:trPr>
        <w:tc>
          <w:tcPr>
            <w:tcW w:w="0" w:type="auto"/>
            <w:vAlign w:val="center"/>
            <w:hideMark/>
          </w:tcPr>
          <w:p w:rsidR="00562FB7" w:rsidRDefault="00562FB7">
            <w:r>
              <w:rPr>
                <w:b/>
                <w:bCs/>
              </w:rPr>
              <w:lastRenderedPageBreak/>
              <w:t>English</w:t>
            </w:r>
          </w:p>
        </w:tc>
        <w:tc>
          <w:tcPr>
            <w:tcW w:w="0" w:type="auto"/>
            <w:vAlign w:val="center"/>
            <w:hideMark/>
          </w:tcPr>
          <w:p w:rsidR="00562FB7" w:rsidRDefault="00562FB7">
            <w:r>
              <w:t>MetaKeywords</w:t>
            </w:r>
          </w:p>
        </w:tc>
        <w:tc>
          <w:tcPr>
            <w:tcW w:w="0" w:type="auto"/>
            <w:vAlign w:val="center"/>
            <w:hideMark/>
          </w:tcPr>
          <w:p w:rsidR="00562FB7" w:rsidRDefault="00562FB7">
            <w:r>
              <w:t>land use permit Georgia, zoning lawyer Tbilisi, Tbilisi master plan, Development Regulation Plan (DRP), special zonal agreement Georgia, K1 K2 coefficients, real estate development lawyer, land due diligence Georgia, zoning change permit</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MetaDescription</w:t>
            </w:r>
          </w:p>
        </w:tc>
        <w:tc>
          <w:tcPr>
            <w:tcW w:w="0" w:type="auto"/>
            <w:vAlign w:val="center"/>
            <w:hideMark/>
          </w:tcPr>
          <w:p w:rsidR="00562FB7" w:rsidRDefault="00562FB7">
            <w:r>
              <w:t>Legal Sandbox Georgia assists with land use and zoning permits, including zone changes, Development Regulation Plans (DRP), and special agreements in Tbilisi.</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OpenGraphTitle</w:t>
            </w:r>
          </w:p>
        </w:tc>
        <w:tc>
          <w:tcPr>
            <w:tcW w:w="0" w:type="auto"/>
            <w:vAlign w:val="center"/>
            <w:hideMark/>
          </w:tcPr>
          <w:p w:rsidR="00562FB7" w:rsidRDefault="00562FB7">
            <w:r>
              <w:t>Land Use &amp; Zoning Permits in Tbilisi, Georgia</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OpenGraphDescription</w:t>
            </w:r>
          </w:p>
        </w:tc>
        <w:tc>
          <w:tcPr>
            <w:tcW w:w="0" w:type="auto"/>
            <w:vAlign w:val="center"/>
            <w:hideMark/>
          </w:tcPr>
          <w:p w:rsidR="00562FB7" w:rsidRDefault="00562FB7">
            <w:r>
              <w:t>We align your development project with the Tbilisi General Plan, navigating the complex zoning process to maximize the potential and value of your property.</w:t>
            </w:r>
          </w:p>
        </w:tc>
      </w:tr>
      <w:tr w:rsidR="00562FB7" w:rsidTr="00562FB7">
        <w:trPr>
          <w:tblCellSpacing w:w="15" w:type="dxa"/>
        </w:trPr>
        <w:tc>
          <w:tcPr>
            <w:tcW w:w="0" w:type="auto"/>
            <w:vAlign w:val="center"/>
            <w:hideMark/>
          </w:tcPr>
          <w:p w:rsidR="00562FB7" w:rsidRDefault="00562FB7">
            <w:r>
              <w:rPr>
                <w:b/>
                <w:bCs/>
              </w:rPr>
              <w:t>Russian (Русский)</w:t>
            </w:r>
          </w:p>
        </w:tc>
        <w:tc>
          <w:tcPr>
            <w:tcW w:w="0" w:type="auto"/>
            <w:vAlign w:val="center"/>
            <w:hideMark/>
          </w:tcPr>
          <w:p w:rsidR="00562FB7" w:rsidRDefault="00562FB7">
            <w:r>
              <w:t>MetaKeywords</w:t>
            </w:r>
          </w:p>
        </w:tc>
        <w:tc>
          <w:tcPr>
            <w:tcW w:w="0" w:type="auto"/>
            <w:vAlign w:val="center"/>
            <w:hideMark/>
          </w:tcPr>
          <w:p w:rsidR="00562FB7" w:rsidRDefault="00562FB7">
            <w:r>
              <w:t>разрешение на землепользование Грузия, юрист по зонированию Тбилиси, генеральный план Тбилиси, План регулирования застройки (ПРЗ), специальное зональное соглашение, коэффициенты застройки, юрист по недвижимости Тбилиси</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MetaDescription</w:t>
            </w:r>
          </w:p>
        </w:tc>
        <w:tc>
          <w:tcPr>
            <w:tcW w:w="0" w:type="auto"/>
            <w:vAlign w:val="center"/>
            <w:hideMark/>
          </w:tcPr>
          <w:p w:rsidR="00562FB7" w:rsidRDefault="00562FB7">
            <w:r>
              <w:t>Legal Sandbox Georgia помогает в получении разрешений на землепользование и зонирование, включая изменение зоны, утверждение ПРЗ и специальные соглашения в Тбилиси.</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OpenGraphTitle</w:t>
            </w:r>
          </w:p>
        </w:tc>
        <w:tc>
          <w:tcPr>
            <w:tcW w:w="0" w:type="auto"/>
            <w:vAlign w:val="center"/>
            <w:hideMark/>
          </w:tcPr>
          <w:p w:rsidR="00562FB7" w:rsidRDefault="00562FB7">
            <w:r>
              <w:t>Разрешения на землепользование и зонирование в Тбилиси</w:t>
            </w:r>
          </w:p>
        </w:tc>
      </w:tr>
      <w:tr w:rsidR="00562FB7" w:rsidTr="00562FB7">
        <w:trPr>
          <w:tblCellSpacing w:w="15" w:type="dxa"/>
        </w:trPr>
        <w:tc>
          <w:tcPr>
            <w:tcW w:w="0" w:type="auto"/>
            <w:vAlign w:val="center"/>
            <w:hideMark/>
          </w:tcPr>
          <w:p w:rsidR="00562FB7" w:rsidRDefault="00562FB7"/>
        </w:tc>
        <w:tc>
          <w:tcPr>
            <w:tcW w:w="0" w:type="auto"/>
            <w:vAlign w:val="center"/>
            <w:hideMark/>
          </w:tcPr>
          <w:p w:rsidR="00562FB7" w:rsidRDefault="00562FB7">
            <w:pPr>
              <w:rPr>
                <w:sz w:val="24"/>
                <w:szCs w:val="24"/>
              </w:rPr>
            </w:pPr>
            <w:r>
              <w:t>OpenGraphDescription</w:t>
            </w:r>
          </w:p>
        </w:tc>
        <w:tc>
          <w:tcPr>
            <w:tcW w:w="0" w:type="auto"/>
            <w:vAlign w:val="center"/>
            <w:hideMark/>
          </w:tcPr>
          <w:p w:rsidR="00562FB7" w:rsidRDefault="00562FB7">
            <w:r>
              <w:t>Мы приводим ваш девелоперский проект в соответствие с генпланом Тбилиси и управляем сложным процессом зонирования для максимизации потенциала вашей недвижимости.</w:t>
            </w:r>
          </w:p>
        </w:tc>
      </w:tr>
    </w:tbl>
    <w:p w:rsidR="00562FB7" w:rsidRPr="005D2CBF" w:rsidRDefault="00562FB7" w:rsidP="005D2CBF">
      <w:pPr>
        <w:jc w:val="both"/>
        <w:rPr>
          <w:lang w:val="ru-RU"/>
        </w:rPr>
      </w:pPr>
      <w:bookmarkStart w:id="0" w:name="_GoBack"/>
      <w:bookmarkEnd w:id="0"/>
    </w:p>
    <w:sectPr w:rsidR="00562FB7" w:rsidRPr="005D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7B"/>
    <w:rsid w:val="00152906"/>
    <w:rsid w:val="003A557C"/>
    <w:rsid w:val="00562FB7"/>
    <w:rsid w:val="005D2CBF"/>
    <w:rsid w:val="00601F51"/>
    <w:rsid w:val="0062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875B"/>
  <w15:chartTrackingRefBased/>
  <w15:docId w15:val="{1FE46E4F-566C-46F3-9E68-4CFFB90E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62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06"/>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5D2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D2CBF"/>
  </w:style>
  <w:style w:type="character" w:customStyle="1" w:styleId="Heading3Char">
    <w:name w:val="Heading 3 Char"/>
    <w:basedOn w:val="DefaultParagraphFont"/>
    <w:link w:val="Heading3"/>
    <w:uiPriority w:val="9"/>
    <w:semiHidden/>
    <w:rsid w:val="00562F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58346">
      <w:bodyDiv w:val="1"/>
      <w:marLeft w:val="0"/>
      <w:marRight w:val="0"/>
      <w:marTop w:val="0"/>
      <w:marBottom w:val="0"/>
      <w:divBdr>
        <w:top w:val="none" w:sz="0" w:space="0" w:color="auto"/>
        <w:left w:val="none" w:sz="0" w:space="0" w:color="auto"/>
        <w:bottom w:val="none" w:sz="0" w:space="0" w:color="auto"/>
        <w:right w:val="none" w:sz="0" w:space="0" w:color="auto"/>
      </w:divBdr>
    </w:div>
    <w:div w:id="516578632">
      <w:bodyDiv w:val="1"/>
      <w:marLeft w:val="0"/>
      <w:marRight w:val="0"/>
      <w:marTop w:val="0"/>
      <w:marBottom w:val="0"/>
      <w:divBdr>
        <w:top w:val="none" w:sz="0" w:space="0" w:color="auto"/>
        <w:left w:val="none" w:sz="0" w:space="0" w:color="auto"/>
        <w:bottom w:val="none" w:sz="0" w:space="0" w:color="auto"/>
        <w:right w:val="none" w:sz="0" w:space="0" w:color="auto"/>
      </w:divBdr>
    </w:div>
    <w:div w:id="566503084">
      <w:bodyDiv w:val="1"/>
      <w:marLeft w:val="0"/>
      <w:marRight w:val="0"/>
      <w:marTop w:val="0"/>
      <w:marBottom w:val="0"/>
      <w:divBdr>
        <w:top w:val="none" w:sz="0" w:space="0" w:color="auto"/>
        <w:left w:val="none" w:sz="0" w:space="0" w:color="auto"/>
        <w:bottom w:val="none" w:sz="0" w:space="0" w:color="auto"/>
        <w:right w:val="none" w:sz="0" w:space="0" w:color="auto"/>
      </w:divBdr>
      <w:divsChild>
        <w:div w:id="1154566637">
          <w:marLeft w:val="0"/>
          <w:marRight w:val="0"/>
          <w:marTop w:val="0"/>
          <w:marBottom w:val="0"/>
          <w:divBdr>
            <w:top w:val="none" w:sz="0" w:space="0" w:color="auto"/>
            <w:left w:val="none" w:sz="0" w:space="0" w:color="auto"/>
            <w:bottom w:val="none" w:sz="0" w:space="0" w:color="auto"/>
            <w:right w:val="none" w:sz="0" w:space="0" w:color="auto"/>
          </w:divBdr>
        </w:div>
      </w:divsChild>
    </w:div>
    <w:div w:id="998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2025-07-04T10:39:00Z</dcterms:created>
  <dcterms:modified xsi:type="dcterms:W3CDTF">2025-07-25T10:42:00Z</dcterms:modified>
</cp:coreProperties>
</file>