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color w:val="1b2a4a"/>
          <w:sz w:val="20"/>
          <w:szCs w:val="20"/>
          <w:rtl w:val="0"/>
        </w:rPr>
        <w:t xml:space="preserve">TASA DIRECTA</w:t>
      </w:r>
      <w:r w:rsidDel="00000000" w:rsidR="00000000" w:rsidRPr="00000000">
        <w:rPr>
          <w:rtl w:val="0"/>
        </w:rPr>
      </w:r>
    </w:p>
    <w:p w:rsidR="00000000" w:rsidDel="00000000" w:rsidP="00000000" w:rsidRDefault="00000000" w:rsidRPr="00000000" w14:paraId="00000002">
      <w:pPr>
        <w:pBdr>
          <w:bottom w:color="1b2a4a" w:space="2" w:sz="18" w:val="single"/>
        </w:pBdr>
        <w:spacing w:after="200" w:lineRule="auto"/>
        <w:rPr/>
      </w:pPr>
      <w:r w:rsidDel="00000000" w:rsidR="00000000" w:rsidRPr="00000000">
        <w:rPr>
          <w:rFonts w:ascii="Calibri" w:cs="Calibri" w:eastAsia="Calibri" w:hAnsi="Calibri"/>
          <w:color w:val="5a6472"/>
          <w:sz w:val="18"/>
          <w:szCs w:val="18"/>
          <w:rtl w:val="0"/>
        </w:rPr>
        <w:t xml:space="preserve">Documentos legales de la plataforma</w:t>
      </w:r>
      <w:r w:rsidDel="00000000" w:rsidR="00000000" w:rsidRPr="00000000">
        <w:rPr>
          <w:rtl w:val="0"/>
        </w:rPr>
      </w:r>
    </w:p>
    <w:p w:rsidR="00000000" w:rsidDel="00000000" w:rsidP="00000000" w:rsidRDefault="00000000" w:rsidRPr="00000000" w14:paraId="00000003">
      <w:pPr>
        <w:spacing w:after="60" w:before="40" w:lineRule="auto"/>
        <w:jc w:val="left"/>
        <w:rPr/>
      </w:pPr>
      <w:r w:rsidDel="00000000" w:rsidR="00000000" w:rsidRPr="00000000">
        <w:rPr>
          <w:rFonts w:ascii="Calibri" w:cs="Calibri" w:eastAsia="Calibri" w:hAnsi="Calibri"/>
          <w:b w:val="1"/>
          <w:bCs w:val="1"/>
          <w:color w:val="1b2a4a"/>
          <w:sz w:val="40"/>
          <w:szCs w:val="40"/>
          <w:rtl w:val="0"/>
        </w:rPr>
        <w:t xml:space="preserve">Política de Tratamiento de Datos Personales</w:t>
      </w:r>
      <w:r w:rsidDel="00000000" w:rsidR="00000000" w:rsidRPr="00000000">
        <w:rPr>
          <w:rtl w:val="0"/>
        </w:rPr>
      </w:r>
    </w:p>
    <w:p w:rsidR="00000000" w:rsidDel="00000000" w:rsidP="00000000" w:rsidRDefault="00000000" w:rsidRPr="00000000" w14:paraId="00000004">
      <w:pPr>
        <w:spacing w:after="200" w:lineRule="auto"/>
        <w:jc w:val="left"/>
        <w:rPr/>
      </w:pPr>
      <w:r w:rsidDel="00000000" w:rsidR="00000000" w:rsidRPr="00000000">
        <w:rPr>
          <w:rFonts w:ascii="Calibri" w:cs="Calibri" w:eastAsia="Calibri" w:hAnsi="Calibri"/>
          <w:b w:val="0"/>
          <w:bCs w:val="0"/>
          <w:color w:val="5a6472"/>
          <w:sz w:val="22"/>
          <w:szCs w:val="22"/>
          <w:rtl w:val="0"/>
        </w:rPr>
        <w:t xml:space="preserve">Documento público · Ley 1581 de 2012 y Decreto 1074 de 2015</w:t>
      </w:r>
      <w:r w:rsidDel="00000000" w:rsidR="00000000" w:rsidRPr="00000000">
        <w:rPr>
          <w:rtl w:val="0"/>
        </w:rPr>
      </w:r>
    </w:p>
    <w:tbl>
      <w:tblPr>
        <w:tblStyle w:val="Table1"/>
        <w:tblW w:w="9360.0" w:type="dxa"/>
        <w:jc w:val="left"/>
        <w:tblBorders>
          <w:top w:color="c7cdd6" w:space="0" w:sz="4" w:val="single"/>
          <w:left w:color="000000" w:space="0" w:sz="0" w:val="nil"/>
          <w:bottom w:color="c7cdd6" w:space="0" w:sz="4" w:val="single"/>
          <w:right w:color="000000" w:space="0" w:sz="0" w:val="nil"/>
          <w:insideH w:color="c7cdd6" w:space="0" w:sz="4" w:val="single"/>
          <w:insideV w:color="000000" w:space="0" w:sz="0" w:val="nil"/>
        </w:tblBorders>
        <w:tblLayout w:type="fixed"/>
        <w:tblLook w:val="0000"/>
      </w:tblPr>
      <w:tblGrid>
        <w:gridCol w:w="3000"/>
        <w:gridCol w:w="6360"/>
        <w:tblGridChange w:id="0">
          <w:tblGrid>
            <w:gridCol w:w="3000"/>
            <w:gridCol w:w="6360"/>
          </w:tblGrid>
        </w:tblGridChange>
      </w:tblGrid>
      <w:tr>
        <w:trPr>
          <w:cantSplit w:val="0"/>
          <w:tblHeader w:val="0"/>
        </w:trPr>
        <w:tc>
          <w:tcPr>
            <w:tcMar>
              <w:top w:w="60.0" w:type="dxa"/>
              <w:left w:w="60.0" w:type="dxa"/>
              <w:bottom w:w="60.0" w:type="dxa"/>
              <w:right w:w="120.0" w:type="dxa"/>
            </w:tcMar>
          </w:tcPr>
          <w:p w:rsidR="00000000" w:rsidDel="00000000" w:rsidP="00000000" w:rsidRDefault="00000000" w:rsidRPr="00000000" w14:paraId="00000005">
            <w:pPr>
              <w:spacing w:after="0" w:lineRule="auto"/>
              <w:rPr/>
            </w:pPr>
            <w:r w:rsidDel="00000000" w:rsidR="00000000" w:rsidRPr="00000000">
              <w:rPr>
                <w:rFonts w:ascii="Calibri" w:cs="Calibri" w:eastAsia="Calibri" w:hAnsi="Calibri"/>
                <w:b w:val="1"/>
                <w:bCs w:val="1"/>
                <w:color w:val="1b2a4a"/>
                <w:sz w:val="20"/>
                <w:szCs w:val="20"/>
                <w:rtl w:val="0"/>
              </w:rPr>
              <w:t xml:space="preserve">Operador legal</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06">
            <w:pPr>
              <w:spacing w:after="0" w:lineRule="auto"/>
              <w:rPr/>
            </w:pPr>
            <w:r w:rsidDel="00000000" w:rsidR="00000000" w:rsidRPr="00000000">
              <w:rPr>
                <w:rFonts w:ascii="Cambria" w:cs="Cambria" w:eastAsia="Cambria" w:hAnsi="Cambria"/>
                <w:color w:val="1a1a1a"/>
                <w:sz w:val="21"/>
                <w:szCs w:val="21"/>
                <w:rtl w:val="0"/>
              </w:rPr>
              <w:t xml:space="preserve">BitWave S.A.S. — NIT 901.920.120-1</w:t>
            </w:r>
            <w:r w:rsidDel="00000000" w:rsidR="00000000" w:rsidRPr="00000000">
              <w:rPr>
                <w:rtl w:val="0"/>
              </w:rPr>
            </w:r>
          </w:p>
        </w:tc>
      </w:tr>
      <w:tr>
        <w:trPr>
          <w:cantSplit w:val="0"/>
          <w:trHeight w:val="411.1962890625" w:hRule="atLeast"/>
          <w:tblHeader w:val="0"/>
        </w:trPr>
        <w:tc>
          <w:tcPr>
            <w:tcMar>
              <w:top w:w="60.0" w:type="dxa"/>
              <w:left w:w="60.0" w:type="dxa"/>
              <w:bottom w:w="60.0" w:type="dxa"/>
              <w:right w:w="120.0" w:type="dxa"/>
            </w:tcMar>
          </w:tcPr>
          <w:p w:rsidR="00000000" w:rsidDel="00000000" w:rsidP="00000000" w:rsidRDefault="00000000" w:rsidRPr="00000000" w14:paraId="00000007">
            <w:pPr>
              <w:spacing w:after="0" w:lineRule="auto"/>
              <w:rPr/>
            </w:pPr>
            <w:r w:rsidDel="00000000" w:rsidR="00000000" w:rsidRPr="00000000">
              <w:rPr>
                <w:rFonts w:ascii="Calibri" w:cs="Calibri" w:eastAsia="Calibri" w:hAnsi="Calibri"/>
                <w:b w:val="1"/>
                <w:bCs w:val="1"/>
                <w:color w:val="1b2a4a"/>
                <w:sz w:val="20"/>
                <w:szCs w:val="20"/>
                <w:rtl w:val="0"/>
              </w:rPr>
              <w:t xml:space="preserve">Plataforma</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08">
            <w:pPr>
              <w:spacing w:after="0" w:lineRule="auto"/>
              <w:rPr/>
            </w:pPr>
            <w:r w:rsidDel="00000000" w:rsidR="00000000" w:rsidRPr="00000000">
              <w:rPr>
                <w:rFonts w:ascii="Cambria" w:cs="Cambria" w:eastAsia="Cambria" w:hAnsi="Cambria"/>
                <w:color w:val="1a1a1a"/>
                <w:sz w:val="21"/>
                <w:szCs w:val="21"/>
                <w:rtl w:val="0"/>
              </w:rPr>
              <w:t xml:space="preserve">Tasa Directa — www.tasadirecta.com</w:t>
            </w:r>
            <w:r w:rsidDel="00000000" w:rsidR="00000000" w:rsidRPr="00000000">
              <w:rPr>
                <w:rtl w:val="0"/>
              </w:rPr>
            </w:r>
          </w:p>
        </w:tc>
      </w:tr>
    </w:tbl>
    <w:p w:rsidR="00000000" w:rsidDel="00000000" w:rsidP="00000000" w:rsidRDefault="00000000" w:rsidRPr="00000000" w14:paraId="00000009">
      <w:pPr>
        <w:spacing w:after="200" w:lineRule="auto"/>
        <w:rPr/>
      </w:pPr>
      <w:r w:rsidDel="00000000" w:rsidR="00000000" w:rsidRPr="00000000">
        <w:rPr>
          <w:rtl w:val="0"/>
        </w:rPr>
      </w:r>
    </w:p>
    <w:p w:rsidR="00000000" w:rsidDel="00000000" w:rsidP="00000000" w:rsidRDefault="00000000" w:rsidRPr="00000000" w14:paraId="0000000A">
      <w:pPr>
        <w:pStyle w:val="Heading1"/>
        <w:pBdr>
          <w:bottom w:color="c7cdd6" w:space="6" w:sz="6" w:val="single"/>
        </w:pBdr>
        <w:spacing w:after="120" w:before="280" w:lineRule="auto"/>
        <w:rPr/>
      </w:pPr>
      <w:r w:rsidDel="00000000" w:rsidR="00000000" w:rsidRPr="00000000">
        <w:rPr>
          <w:rFonts w:ascii="Calibri" w:cs="Calibri" w:eastAsia="Calibri" w:hAnsi="Calibri"/>
          <w:b w:val="1"/>
          <w:bCs w:val="1"/>
          <w:color w:val="1b2a4a"/>
          <w:sz w:val="26"/>
          <w:szCs w:val="26"/>
          <w:rtl w:val="0"/>
        </w:rPr>
        <w:t xml:space="preserve">1. Objeto y responsable del tratamiento</w:t>
      </w:r>
      <w:r w:rsidDel="00000000" w:rsidR="00000000" w:rsidRPr="00000000">
        <w:rPr>
          <w:rtl w:val="0"/>
        </w:rPr>
      </w:r>
    </w:p>
    <w:p w:rsidR="00000000" w:rsidDel="00000000" w:rsidP="00000000" w:rsidRDefault="00000000" w:rsidRPr="00000000" w14:paraId="0000000B">
      <w:pPr>
        <w:keepNext w:val="0"/>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La presente Política de Tratamiento de Datos Personales regula la recolección, el uso, el almacenamiento, la circulación y la supresión de los datos personales tratados por el responsable, en desarrollo de la plataforma Tasa Directa, en cumplimiento de la Ley 1581 de 2012, el Decreto Único Reglamentario 1074 de 2015 y demás normas concordantes.</w:t>
      </w:r>
      <w:r w:rsidDel="00000000" w:rsidR="00000000" w:rsidRPr="00000000">
        <w:rPr>
          <w:rtl w:val="0"/>
        </w:rPr>
      </w:r>
    </w:p>
    <w:tbl>
      <w:tblPr>
        <w:tblStyle w:val="Table2"/>
        <w:tblW w:w="9360.0" w:type="dxa"/>
        <w:jc w:val="left"/>
        <w:tblBorders>
          <w:top w:color="c7cdd6" w:space="0" w:sz="4" w:val="single"/>
          <w:left w:color="000000" w:space="0" w:sz="0" w:val="nil"/>
          <w:bottom w:color="c7cdd6" w:space="0" w:sz="4" w:val="single"/>
          <w:right w:color="000000" w:space="0" w:sz="0" w:val="nil"/>
          <w:insideH w:color="c7cdd6" w:space="0" w:sz="4" w:val="single"/>
          <w:insideV w:color="000000" w:space="0" w:sz="0" w:val="nil"/>
        </w:tblBorders>
        <w:tblLayout w:type="fixed"/>
        <w:tblLook w:val="0000"/>
      </w:tblPr>
      <w:tblGrid>
        <w:gridCol w:w="3000"/>
        <w:gridCol w:w="6360"/>
        <w:tblGridChange w:id="0">
          <w:tblGrid>
            <w:gridCol w:w="3000"/>
            <w:gridCol w:w="6360"/>
          </w:tblGrid>
        </w:tblGridChange>
      </w:tblGrid>
      <w:tr>
        <w:trPr>
          <w:cantSplit w:val="0"/>
          <w:tblHeader w:val="0"/>
        </w:trPr>
        <w:tc>
          <w:tcPr>
            <w:tcMar>
              <w:top w:w="60.0" w:type="dxa"/>
              <w:left w:w="60.0" w:type="dxa"/>
              <w:bottom w:w="60.0" w:type="dxa"/>
              <w:right w:w="120.0" w:type="dxa"/>
            </w:tcMar>
          </w:tcPr>
          <w:p w:rsidR="00000000" w:rsidDel="00000000" w:rsidP="00000000" w:rsidRDefault="00000000" w:rsidRPr="00000000" w14:paraId="0000000C">
            <w:pPr>
              <w:spacing w:after="0" w:lineRule="auto"/>
              <w:rPr/>
            </w:pPr>
            <w:r w:rsidDel="00000000" w:rsidR="00000000" w:rsidRPr="00000000">
              <w:rPr>
                <w:rFonts w:ascii="Calibri" w:cs="Calibri" w:eastAsia="Calibri" w:hAnsi="Calibri"/>
                <w:b w:val="1"/>
                <w:bCs w:val="1"/>
                <w:color w:val="1b2a4a"/>
                <w:sz w:val="20"/>
                <w:szCs w:val="20"/>
                <w:rtl w:val="0"/>
              </w:rPr>
              <w:t xml:space="preserve">Responsable</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0D">
            <w:pPr>
              <w:spacing w:after="0" w:lineRule="auto"/>
              <w:rPr/>
            </w:pPr>
            <w:r w:rsidDel="00000000" w:rsidR="00000000" w:rsidRPr="00000000">
              <w:rPr>
                <w:rFonts w:ascii="Cambria" w:cs="Cambria" w:eastAsia="Cambria" w:hAnsi="Cambria"/>
                <w:color w:val="1a1a1a"/>
                <w:sz w:val="21"/>
                <w:szCs w:val="21"/>
                <w:rtl w:val="0"/>
              </w:rPr>
              <w:t xml:space="preserve">BitWave S.A.S.</w:t>
            </w:r>
            <w:r w:rsidDel="00000000" w:rsidR="00000000" w:rsidRPr="00000000">
              <w:rPr>
                <w:rtl w:val="0"/>
              </w:rPr>
            </w:r>
          </w:p>
        </w:tc>
      </w:tr>
      <w:tr>
        <w:trPr>
          <w:cantSplit w:val="0"/>
          <w:tblHeader w:val="0"/>
        </w:trPr>
        <w:tc>
          <w:tcPr>
            <w:tcMar>
              <w:top w:w="60.0" w:type="dxa"/>
              <w:left w:w="60.0" w:type="dxa"/>
              <w:bottom w:w="60.0" w:type="dxa"/>
              <w:right w:w="120.0" w:type="dxa"/>
            </w:tcMa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b w:val="1"/>
                <w:bCs w:val="1"/>
                <w:color w:val="1b2a4a"/>
                <w:sz w:val="20"/>
                <w:szCs w:val="20"/>
                <w:rtl w:val="0"/>
              </w:rPr>
              <w:t xml:space="preserve">NIT</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0F">
            <w:pPr>
              <w:spacing w:after="0" w:lineRule="auto"/>
              <w:rPr/>
            </w:pPr>
            <w:r w:rsidDel="00000000" w:rsidR="00000000" w:rsidRPr="00000000">
              <w:rPr>
                <w:rFonts w:ascii="Cambria" w:cs="Cambria" w:eastAsia="Cambria" w:hAnsi="Cambria"/>
                <w:color w:val="1a1a1a"/>
                <w:sz w:val="21"/>
                <w:szCs w:val="21"/>
                <w:rtl w:val="0"/>
              </w:rPr>
              <w:t xml:space="preserve">901.920.120-1</w:t>
            </w:r>
            <w:r w:rsidDel="00000000" w:rsidR="00000000" w:rsidRPr="00000000">
              <w:rPr>
                <w:rtl w:val="0"/>
              </w:rPr>
            </w:r>
          </w:p>
        </w:tc>
      </w:tr>
      <w:tr>
        <w:trPr>
          <w:cantSplit w:val="0"/>
          <w:tblHeader w:val="0"/>
        </w:trPr>
        <w:tc>
          <w:tcPr>
            <w:tcMar>
              <w:top w:w="60.0" w:type="dxa"/>
              <w:left w:w="60.0" w:type="dxa"/>
              <w:bottom w:w="60.0" w:type="dxa"/>
              <w:right w:w="120.0" w:type="dxa"/>
            </w:tcMar>
          </w:tcPr>
          <w:p w:rsidR="00000000" w:rsidDel="00000000" w:rsidP="00000000" w:rsidRDefault="00000000" w:rsidRPr="00000000" w14:paraId="00000010">
            <w:pPr>
              <w:spacing w:after="0" w:lineRule="auto"/>
              <w:rPr/>
            </w:pPr>
            <w:r w:rsidDel="00000000" w:rsidR="00000000" w:rsidRPr="00000000">
              <w:rPr>
                <w:rFonts w:ascii="Calibri" w:cs="Calibri" w:eastAsia="Calibri" w:hAnsi="Calibri"/>
                <w:b w:val="1"/>
                <w:bCs w:val="1"/>
                <w:color w:val="1b2a4a"/>
                <w:sz w:val="20"/>
                <w:szCs w:val="20"/>
                <w:rtl w:val="0"/>
              </w:rPr>
              <w:t xml:space="preserve">Plataforma</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1">
            <w:pPr>
              <w:spacing w:after="0" w:lineRule="auto"/>
              <w:rPr/>
            </w:pPr>
            <w:r w:rsidDel="00000000" w:rsidR="00000000" w:rsidRPr="00000000">
              <w:rPr>
                <w:rFonts w:ascii="Cambria" w:cs="Cambria" w:eastAsia="Cambria" w:hAnsi="Cambria"/>
                <w:color w:val="1a1a1a"/>
                <w:sz w:val="21"/>
                <w:szCs w:val="21"/>
                <w:rtl w:val="0"/>
              </w:rPr>
              <w:t xml:space="preserve">Tasa Directa (www.tasadirecta.com)</w:t>
            </w:r>
            <w:r w:rsidDel="00000000" w:rsidR="00000000" w:rsidRPr="00000000">
              <w:rPr>
                <w:rtl w:val="0"/>
              </w:rPr>
            </w:r>
          </w:p>
        </w:tc>
      </w:tr>
      <w:tr>
        <w:trPr>
          <w:cantSplit w:val="0"/>
          <w:tblHeader w:val="0"/>
        </w:trPr>
        <w:tc>
          <w:tcPr>
            <w:tcMar>
              <w:top w:w="60.0" w:type="dxa"/>
              <w:left w:w="60.0" w:type="dxa"/>
              <w:bottom w:w="60.0" w:type="dxa"/>
              <w:right w:w="120.0" w:type="dxa"/>
            </w:tcMar>
          </w:tcPr>
          <w:p w:rsidR="00000000" w:rsidDel="00000000" w:rsidP="00000000" w:rsidRDefault="00000000" w:rsidRPr="00000000" w14:paraId="00000012">
            <w:pPr>
              <w:spacing w:after="0" w:lineRule="auto"/>
              <w:rPr/>
            </w:pPr>
            <w:r w:rsidDel="00000000" w:rsidR="00000000" w:rsidRPr="00000000">
              <w:rPr>
                <w:rFonts w:ascii="Calibri" w:cs="Calibri" w:eastAsia="Calibri" w:hAnsi="Calibri"/>
                <w:b w:val="1"/>
                <w:bCs w:val="1"/>
                <w:color w:val="1b2a4a"/>
                <w:sz w:val="20"/>
                <w:szCs w:val="20"/>
                <w:rtl w:val="0"/>
              </w:rPr>
              <w:t xml:space="preserve">Domicilio</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3">
            <w:pPr>
              <w:spacing w:after="160" w:lineRule="auto"/>
              <w:jc w:val="both"/>
              <w:rPr/>
            </w:pPr>
            <w:r w:rsidDel="00000000" w:rsidR="00000000" w:rsidRPr="00000000">
              <w:rPr>
                <w:rFonts w:ascii="Calibri" w:cs="Calibri" w:eastAsia="Calibri" w:hAnsi="Calibri"/>
                <w:color w:val="000000"/>
                <w:rtl w:val="0"/>
              </w:rPr>
              <w:t xml:space="preserve"> Calle 6 Sur 32 A 132 int 701</w:t>
            </w:r>
            <w:r w:rsidDel="00000000" w:rsidR="00000000" w:rsidRPr="00000000">
              <w:rPr>
                <w:rtl w:val="0"/>
              </w:rPr>
            </w:r>
          </w:p>
        </w:tc>
      </w:tr>
      <w:tr>
        <w:trPr>
          <w:cantSplit w:val="0"/>
          <w:tblHeader w:val="0"/>
        </w:trPr>
        <w:tc>
          <w:tcPr>
            <w:tcMar>
              <w:top w:w="60.0" w:type="dxa"/>
              <w:left w:w="60.0" w:type="dxa"/>
              <w:bottom w:w="60.0" w:type="dxa"/>
              <w:right w:w="120.0" w:type="dxa"/>
            </w:tcMar>
          </w:tcPr>
          <w:p w:rsidR="00000000" w:rsidDel="00000000" w:rsidP="00000000" w:rsidRDefault="00000000" w:rsidRPr="00000000" w14:paraId="00000014">
            <w:pPr>
              <w:spacing w:after="0" w:lineRule="auto"/>
              <w:rPr/>
            </w:pPr>
            <w:r w:rsidDel="00000000" w:rsidR="00000000" w:rsidRPr="00000000">
              <w:rPr>
                <w:rFonts w:ascii="Calibri" w:cs="Calibri" w:eastAsia="Calibri" w:hAnsi="Calibri"/>
                <w:b w:val="1"/>
                <w:bCs w:val="1"/>
                <w:color w:val="1b2a4a"/>
                <w:sz w:val="20"/>
                <w:szCs w:val="20"/>
                <w:rtl w:val="0"/>
              </w:rPr>
              <w:t xml:space="preserve">Correo de contacto</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5">
            <w:pPr>
              <w:spacing w:after="0" w:lineRule="auto"/>
              <w:rPr>
                <w:color w:val="000000"/>
              </w:rPr>
            </w:pPr>
            <w:r w:rsidDel="00000000" w:rsidR="00000000" w:rsidRPr="00000000">
              <w:rPr>
                <w:b w:val="1"/>
                <w:bCs w:val="1"/>
                <w:color w:val="000000"/>
                <w:rtl w:val="0"/>
              </w:rPr>
              <w:t xml:space="preserve">info@bitwaveco.com</w:t>
            </w:r>
            <w:r w:rsidDel="00000000" w:rsidR="00000000" w:rsidRPr="00000000">
              <w:rPr>
                <w:rtl w:val="0"/>
              </w:rPr>
            </w:r>
          </w:p>
        </w:tc>
      </w:tr>
      <w:tr>
        <w:trPr>
          <w:cantSplit w:val="0"/>
          <w:tblHeader w:val="0"/>
        </w:trPr>
        <w:tc>
          <w:tcPr>
            <w:tcMar>
              <w:top w:w="60.0" w:type="dxa"/>
              <w:left w:w="60.0" w:type="dxa"/>
              <w:bottom w:w="60.0" w:type="dxa"/>
              <w:right w:w="120.0" w:type="dxa"/>
            </w:tcMar>
          </w:tcPr>
          <w:p w:rsidR="00000000" w:rsidDel="00000000" w:rsidP="00000000" w:rsidRDefault="00000000" w:rsidRPr="00000000" w14:paraId="00000016">
            <w:pPr>
              <w:spacing w:after="0" w:lineRule="auto"/>
              <w:rPr/>
            </w:pPr>
            <w:r w:rsidDel="00000000" w:rsidR="00000000" w:rsidRPr="00000000">
              <w:rPr>
                <w:rFonts w:ascii="Calibri" w:cs="Calibri" w:eastAsia="Calibri" w:hAnsi="Calibri"/>
                <w:b w:val="1"/>
                <w:bCs w:val="1"/>
                <w:color w:val="1b2a4a"/>
                <w:sz w:val="20"/>
                <w:szCs w:val="20"/>
                <w:rtl w:val="0"/>
              </w:rPr>
              <w:t xml:space="preserve">Canal de PQRS</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17">
            <w:pPr>
              <w:spacing w:after="0" w:lineRule="auto"/>
              <w:rPr>
                <w:color w:val="000000"/>
              </w:rPr>
            </w:pPr>
            <w:r w:rsidDel="00000000" w:rsidR="00000000" w:rsidRPr="00000000">
              <w:rPr>
                <w:b w:val="1"/>
                <w:bCs w:val="1"/>
                <w:color w:val="000000"/>
                <w:rtl w:val="0"/>
              </w:rPr>
              <w:t xml:space="preserve">info@bitwaveco.com</w:t>
            </w:r>
            <w:r w:rsidDel="00000000" w:rsidR="00000000" w:rsidRPr="00000000">
              <w:rPr>
                <w:rtl w:val="0"/>
              </w:rPr>
            </w:r>
          </w:p>
        </w:tc>
      </w:tr>
    </w:tbl>
    <w:p w:rsidR="00000000" w:rsidDel="00000000" w:rsidP="00000000" w:rsidRDefault="00000000" w:rsidRPr="00000000" w14:paraId="00000018">
      <w:pPr>
        <w:spacing w:after="120" w:lineRule="auto"/>
        <w:rPr/>
      </w:pPr>
      <w:r w:rsidDel="00000000" w:rsidR="00000000" w:rsidRPr="00000000">
        <w:rPr>
          <w:rtl w:val="0"/>
        </w:rPr>
      </w:r>
    </w:p>
    <w:p w:rsidR="00000000" w:rsidDel="00000000" w:rsidP="00000000" w:rsidRDefault="00000000" w:rsidRPr="00000000" w14:paraId="00000019">
      <w:pPr>
        <w:keepNext w:val="0"/>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BitWave S.A.S. actúa como </w:t>
      </w:r>
      <w:r w:rsidDel="00000000" w:rsidR="00000000" w:rsidRPr="00000000">
        <w:rPr>
          <w:rFonts w:ascii="Cambria" w:cs="Cambria" w:eastAsia="Cambria" w:hAnsi="Cambria"/>
          <w:b w:val="1"/>
          <w:bCs w:val="1"/>
          <w:i w:val="0"/>
          <w:iCs w:val="0"/>
          <w:smallCaps w:val="0"/>
          <w:color w:val="1a1a1a"/>
          <w:sz w:val="22"/>
          <w:szCs w:val="22"/>
          <w:rtl w:val="0"/>
        </w:rPr>
        <w:t xml:space="preserve">Responsable del tratamiento</w:t>
      </w:r>
      <w:r w:rsidDel="00000000" w:rsidR="00000000" w:rsidRPr="00000000">
        <w:rPr>
          <w:rFonts w:ascii="Cambria" w:cs="Cambria" w:eastAsia="Cambria" w:hAnsi="Cambria"/>
          <w:b w:val="0"/>
          <w:bCs w:val="0"/>
          <w:i w:val="0"/>
          <w:iCs w:val="0"/>
          <w:smallCaps w:val="0"/>
          <w:color w:val="1a1a1a"/>
          <w:sz w:val="22"/>
          <w:szCs w:val="22"/>
          <w:rtl w:val="0"/>
        </w:rPr>
        <w:t xml:space="preserve">, pues decide las finalidades y los medios del tratamiento de los datos personales que recolecta a través de la Plataforma.</w:t>
      </w:r>
      <w:r w:rsidDel="00000000" w:rsidR="00000000" w:rsidRPr="00000000">
        <w:rPr>
          <w:rtl w:val="0"/>
        </w:rPr>
      </w:r>
    </w:p>
    <w:p w:rsidR="00000000" w:rsidDel="00000000" w:rsidP="00000000" w:rsidRDefault="00000000" w:rsidRPr="00000000" w14:paraId="0000001A">
      <w:pPr>
        <w:pStyle w:val="Heading1"/>
        <w:pBdr>
          <w:bottom w:color="c7cdd6" w:space="6" w:sz="6" w:val="single"/>
        </w:pBdr>
        <w:spacing w:after="120" w:before="280" w:lineRule="auto"/>
        <w:rPr/>
      </w:pPr>
      <w:r w:rsidDel="00000000" w:rsidR="00000000" w:rsidRPr="00000000">
        <w:rPr>
          <w:rFonts w:ascii="Calibri" w:cs="Calibri" w:eastAsia="Calibri" w:hAnsi="Calibri"/>
          <w:b w:val="1"/>
          <w:bCs w:val="1"/>
          <w:color w:val="1b2a4a"/>
          <w:sz w:val="26"/>
          <w:szCs w:val="26"/>
          <w:rtl w:val="0"/>
        </w:rPr>
        <w:t xml:space="preserve">2. Definiciones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60"/>
        <w:jc w:val="both"/>
        <w:rPr/>
      </w:pPr>
      <w:r w:rsidDel="00000000" w:rsidR="00000000" w:rsidRPr="00000000">
        <w:rPr>
          <w:rFonts w:ascii="Cambria" w:cs="Cambria" w:eastAsia="Cambria" w:hAnsi="Cambria"/>
          <w:b w:val="1"/>
          <w:bCs w:val="1"/>
          <w:i w:val="0"/>
          <w:iCs w:val="0"/>
          <w:smallCaps w:val="0"/>
          <w:strike w:val="0"/>
          <w:color w:val="1a1a1a"/>
          <w:sz w:val="22"/>
          <w:szCs w:val="22"/>
          <w:u w:val="none"/>
          <w:shd w:fill="auto" w:val="clear"/>
          <w:vertAlign w:val="baseline"/>
          <w:rtl w:val="0"/>
        </w:rPr>
        <w:t xml:space="preserve">Titular: </w:t>
      </w: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persona natural cuyos datos personales son objeto de tratamiento.</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60"/>
        <w:jc w:val="both"/>
        <w:rPr/>
      </w:pPr>
      <w:r w:rsidDel="00000000" w:rsidR="00000000" w:rsidRPr="00000000">
        <w:rPr>
          <w:rFonts w:ascii="Cambria" w:cs="Cambria" w:eastAsia="Cambria" w:hAnsi="Cambria"/>
          <w:b w:val="1"/>
          <w:bCs w:val="1"/>
          <w:i w:val="0"/>
          <w:iCs w:val="0"/>
          <w:smallCaps w:val="0"/>
          <w:strike w:val="0"/>
          <w:color w:val="1a1a1a"/>
          <w:sz w:val="22"/>
          <w:szCs w:val="22"/>
          <w:u w:val="none"/>
          <w:shd w:fill="auto" w:val="clear"/>
          <w:vertAlign w:val="baseline"/>
          <w:rtl w:val="0"/>
        </w:rPr>
        <w:t xml:space="preserve">Dato personal: </w:t>
      </w: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información vinculada o que pueda asociarse a una persona natural determinada o determinable.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60"/>
        <w:jc w:val="both"/>
        <w:rPr/>
      </w:pPr>
      <w:r w:rsidDel="00000000" w:rsidR="00000000" w:rsidRPr="00000000">
        <w:rPr>
          <w:rFonts w:ascii="Cambria" w:cs="Cambria" w:eastAsia="Cambria" w:hAnsi="Cambria"/>
          <w:b w:val="1"/>
          <w:bCs w:val="1"/>
          <w:i w:val="0"/>
          <w:iCs w:val="0"/>
          <w:smallCaps w:val="0"/>
          <w:strike w:val="0"/>
          <w:color w:val="1a1a1a"/>
          <w:sz w:val="22"/>
          <w:szCs w:val="22"/>
          <w:u w:val="none"/>
          <w:shd w:fill="auto" w:val="clear"/>
          <w:vertAlign w:val="baseline"/>
          <w:rtl w:val="0"/>
        </w:rPr>
        <w:t xml:space="preserve">Tratamiento: </w:t>
      </w: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operación sobre datos personales, como recolección, almacenamiento, uso, circulación o supresión.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60"/>
        <w:jc w:val="both"/>
        <w:rPr/>
      </w:pPr>
      <w:r w:rsidDel="00000000" w:rsidR="00000000" w:rsidRPr="00000000">
        <w:rPr>
          <w:rFonts w:ascii="Cambria" w:cs="Cambria" w:eastAsia="Cambria" w:hAnsi="Cambria"/>
          <w:b w:val="1"/>
          <w:bCs w:val="1"/>
          <w:i w:val="0"/>
          <w:iCs w:val="0"/>
          <w:smallCaps w:val="0"/>
          <w:strike w:val="0"/>
          <w:color w:val="1a1a1a"/>
          <w:sz w:val="22"/>
          <w:szCs w:val="22"/>
          <w:u w:val="none"/>
          <w:shd w:fill="auto" w:val="clear"/>
          <w:vertAlign w:val="baseline"/>
          <w:rtl w:val="0"/>
        </w:rPr>
        <w:t xml:space="preserve">Autorización: </w:t>
      </w: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consentimiento previo, expreso e informado del titular para tratar sus datos.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60"/>
        <w:jc w:val="both"/>
        <w:rPr/>
      </w:pPr>
      <w:r w:rsidDel="00000000" w:rsidR="00000000" w:rsidRPr="00000000">
        <w:rPr>
          <w:rFonts w:ascii="Cambria" w:cs="Cambria" w:eastAsia="Cambria" w:hAnsi="Cambria"/>
          <w:b w:val="1"/>
          <w:bCs w:val="1"/>
          <w:i w:val="0"/>
          <w:iCs w:val="0"/>
          <w:smallCaps w:val="0"/>
          <w:strike w:val="0"/>
          <w:color w:val="1a1a1a"/>
          <w:sz w:val="22"/>
          <w:szCs w:val="22"/>
          <w:u w:val="none"/>
          <w:shd w:fill="auto" w:val="clear"/>
          <w:vertAlign w:val="baseline"/>
          <w:rtl w:val="0"/>
        </w:rPr>
        <w:t xml:space="preserve">Responsable / Encargado: </w:t>
      </w: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quien decide sobre el tratamiento / quien lo realiza por cuenta del responsable.</w:t>
      </w:r>
    </w:p>
    <w:p w:rsidR="00000000" w:rsidDel="00000000" w:rsidP="00000000" w:rsidRDefault="00000000" w:rsidRPr="00000000" w14:paraId="00000020">
      <w:pPr>
        <w:pStyle w:val="Heading1"/>
        <w:pBdr>
          <w:bottom w:color="c7cdd6" w:space="6" w:sz="6" w:val="single"/>
        </w:pBdr>
        <w:spacing w:after="120" w:before="280" w:lineRule="auto"/>
        <w:rPr/>
      </w:pPr>
      <w:r w:rsidDel="00000000" w:rsidR="00000000" w:rsidRPr="00000000">
        <w:rPr>
          <w:rFonts w:ascii="Calibri" w:cs="Calibri" w:eastAsia="Calibri" w:hAnsi="Calibri"/>
          <w:b w:val="1"/>
          <w:bCs w:val="1"/>
          <w:color w:val="1b2a4a"/>
          <w:sz w:val="26"/>
          <w:szCs w:val="26"/>
          <w:rtl w:val="0"/>
        </w:rPr>
        <w:t xml:space="preserve">3. Ámbito y distinción empresa / persona natural</w:t>
      </w:r>
      <w:r w:rsidDel="00000000" w:rsidR="00000000" w:rsidRPr="00000000">
        <w:rPr>
          <w:rtl w:val="0"/>
        </w:rPr>
      </w:r>
    </w:p>
    <w:p w:rsidR="00000000" w:rsidDel="00000000" w:rsidP="00000000" w:rsidRDefault="00000000" w:rsidRPr="00000000" w14:paraId="00000021">
      <w:pPr>
        <w:keepNext w:val="0"/>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La Plataforma trata dos tipos de información. Los datos de la empresa (persona jurídica) no constituyen datos personales protegidos por el régimen de Habeas Data. Los datos de personas naturales sí quedan amparados por esta Política y por la Ley 1581 de 2012.</w:t>
      </w:r>
      <w:r w:rsidDel="00000000" w:rsidR="00000000" w:rsidRPr="00000000">
        <w:rPr>
          <w:rtl w:val="0"/>
        </w:rPr>
      </w:r>
    </w:p>
    <w:p w:rsidR="00000000" w:rsidDel="00000000" w:rsidP="00000000" w:rsidRDefault="00000000" w:rsidRPr="00000000" w14:paraId="00000022">
      <w:pPr>
        <w:spacing w:after="60" w:before="140" w:lineRule="auto"/>
        <w:rPr/>
      </w:pPr>
      <w:r w:rsidDel="00000000" w:rsidR="00000000" w:rsidRPr="00000000">
        <w:rPr>
          <w:rFonts w:ascii="Calibri" w:cs="Calibri" w:eastAsia="Calibri" w:hAnsi="Calibri"/>
          <w:b w:val="1"/>
          <w:bCs w:val="1"/>
          <w:color w:val="5a6472"/>
          <w:sz w:val="21"/>
          <w:szCs w:val="21"/>
          <w:rtl w:val="0"/>
        </w:rPr>
        <w:t xml:space="preserve">3.1. Datos de la empresa (persona jurídica) — no personales</w:t>
      </w:r>
      <w:r w:rsidDel="00000000" w:rsidR="00000000" w:rsidRPr="00000000">
        <w:rPr>
          <w:rtl w:val="0"/>
        </w:rPr>
      </w:r>
    </w:p>
    <w:p w:rsidR="00000000" w:rsidDel="00000000" w:rsidP="00000000" w:rsidRDefault="00000000" w:rsidRPr="00000000" w14:paraId="00000023">
      <w:pPr>
        <w:keepNext w:val="0"/>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Razón social, nombre comercial (opcional), NIT, tipo de sociedad (S.A.S., S.A., Ltda., persona natural u otra), sede principal, dirección exacta, ciudad, teléfono (opcional) y sitio web (opcional).</w:t>
      </w:r>
      <w:r w:rsidDel="00000000" w:rsidR="00000000" w:rsidRPr="00000000">
        <w:rPr>
          <w:rtl w:val="0"/>
        </w:rPr>
      </w:r>
    </w:p>
    <w:p w:rsidR="00000000" w:rsidDel="00000000" w:rsidP="00000000" w:rsidRDefault="00000000" w:rsidRPr="00000000" w14:paraId="00000024">
      <w:pPr>
        <w:spacing w:after="60" w:before="140" w:lineRule="auto"/>
        <w:rPr/>
      </w:pPr>
      <w:r w:rsidDel="00000000" w:rsidR="00000000" w:rsidRPr="00000000">
        <w:rPr>
          <w:rFonts w:ascii="Calibri" w:cs="Calibri" w:eastAsia="Calibri" w:hAnsi="Calibri"/>
          <w:b w:val="1"/>
          <w:bCs w:val="1"/>
          <w:color w:val="5a6472"/>
          <w:sz w:val="21"/>
          <w:szCs w:val="21"/>
          <w:rtl w:val="0"/>
        </w:rPr>
        <w:t xml:space="preserve">3.2. Datos de personas naturales — protegidos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Correo electrónico de la cuenta (usuario de acceso).</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Representante legal: nombre completo, tipo de documento (C.C., C.E., pasaporte o NIT), número de documento, correo electrónico y celular.</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Persona de contacto: nombre completo, cargo (opcional), celular, correo electrónico y WhatsApp (opcional).</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Datos personales de terceros que puedan estar contenidos en los documentos de vinculación (por ejemplo, nombres e identificación de socios o accionistas en la composición accionaria).</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Metadatos de la aceptación de términos: dirección IP, identificador del navegador (user-agent), fecha y hora, y versión del documento aceptado.</w:t>
      </w:r>
    </w:p>
    <w:p w:rsidR="00000000" w:rsidDel="00000000" w:rsidP="00000000" w:rsidRDefault="00000000" w:rsidRPr="00000000" w14:paraId="0000002A">
      <w:pPr>
        <w:pStyle w:val="Heading1"/>
        <w:pBdr>
          <w:bottom w:color="c7cdd6" w:space="6" w:sz="6" w:val="single"/>
        </w:pBdr>
        <w:spacing w:after="120" w:before="280" w:lineRule="auto"/>
        <w:rPr/>
      </w:pPr>
      <w:r w:rsidDel="00000000" w:rsidR="00000000" w:rsidRPr="00000000">
        <w:rPr>
          <w:rFonts w:ascii="Calibri" w:cs="Calibri" w:eastAsia="Calibri" w:hAnsi="Calibri"/>
          <w:b w:val="1"/>
          <w:bCs w:val="1"/>
          <w:color w:val="1b2a4a"/>
          <w:sz w:val="26"/>
          <w:szCs w:val="26"/>
          <w:rtl w:val="0"/>
        </w:rPr>
        <w:t xml:space="preserve">4. Finalidades del tratamiento</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4" w:lineRule="auto"/>
        <w:ind w:left="460" w:right="0" w:hanging="300"/>
        <w:jc w:val="both"/>
        <w:rPr/>
      </w:pP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Verificar la identidad de la empresa y de sus representantes y la vigencia de su autorización ante la DIAN.</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4" w:lineRule="auto"/>
        <w:ind w:left="460" w:right="0" w:hanging="300"/>
        <w:jc w:val="both"/>
        <w:rPr/>
      </w:pP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Dar seguridad y confianza a los demás usuarios del marketplace.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4" w:lineRule="auto"/>
        <w:ind w:left="460" w:right="0" w:hanging="300"/>
        <w:jc w:val="both"/>
        <w:rPr/>
      </w:pP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Operar la cuenta, la suscripción y la facturación asociada al NIT.</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4" w:lineRule="auto"/>
        <w:ind w:left="460" w:right="0" w:hanging="300"/>
        <w:jc w:val="both"/>
        <w:rPr/>
      </w:pP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Enviar comunicaciones transaccionales y notificaciones del servicio.</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4" w:lineRule="auto"/>
        <w:ind w:left="460" w:right="0" w:hanging="300"/>
        <w:jc w:val="both"/>
        <w:rPr/>
      </w:pP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Conservar evidencia de la aceptación de términos (trazabilidad legal).</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4" w:lineRule="auto"/>
        <w:ind w:left="460" w:right="0" w:hanging="300"/>
        <w:jc w:val="both"/>
        <w:rPr/>
      </w:pP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Atender consultas, reclamos y solicitudes de ejercicio de derechos, y cumplir obligaciones legales.</w:t>
      </w:r>
    </w:p>
    <w:p w:rsidR="00000000" w:rsidDel="00000000" w:rsidP="00000000" w:rsidRDefault="00000000" w:rsidRPr="00000000" w14:paraId="00000031">
      <w:pPr>
        <w:pStyle w:val="Heading1"/>
        <w:pBdr>
          <w:bottom w:color="c7cdd6" w:space="6" w:sz="6" w:val="single"/>
        </w:pBdr>
        <w:spacing w:after="120" w:before="280" w:lineRule="auto"/>
        <w:rPr/>
      </w:pPr>
      <w:r w:rsidDel="00000000" w:rsidR="00000000" w:rsidRPr="00000000">
        <w:rPr>
          <w:rFonts w:ascii="Calibri" w:cs="Calibri" w:eastAsia="Calibri" w:hAnsi="Calibri"/>
          <w:b w:val="1"/>
          <w:bCs w:val="1"/>
          <w:color w:val="1b2a4a"/>
          <w:sz w:val="26"/>
          <w:szCs w:val="26"/>
          <w:rtl w:val="0"/>
        </w:rPr>
        <w:t xml:space="preserve">5. Datos sensibles y datos de menores</w:t>
      </w:r>
      <w:r w:rsidDel="00000000" w:rsidR="00000000" w:rsidRPr="00000000">
        <w:rPr>
          <w:rtl w:val="0"/>
        </w:rPr>
      </w:r>
    </w:p>
    <w:p w:rsidR="00000000" w:rsidDel="00000000" w:rsidP="00000000" w:rsidRDefault="00000000" w:rsidRPr="00000000" w14:paraId="00000032">
      <w:pPr>
        <w:keepNext w:val="0"/>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La Plataforma no solicita datos sensibles ni datos de niñas, niños y adolescentes para su operación. En caso de que, excepcionalmente, un documento de vinculación contenga datos sensibles, no serán utilizados para finalidades distintas a la verificación y se aplicarán medidas reforzadas de seguridad y acceso restringido.</w:t>
      </w:r>
      <w:r w:rsidDel="00000000" w:rsidR="00000000" w:rsidRPr="00000000">
        <w:rPr>
          <w:rtl w:val="0"/>
        </w:rPr>
      </w:r>
    </w:p>
    <w:p w:rsidR="00000000" w:rsidDel="00000000" w:rsidP="00000000" w:rsidRDefault="00000000" w:rsidRPr="00000000" w14:paraId="00000033">
      <w:pPr>
        <w:pStyle w:val="Heading1"/>
        <w:pBdr>
          <w:bottom w:color="c7cdd6" w:space="6" w:sz="6" w:val="single"/>
        </w:pBdr>
        <w:spacing w:after="120" w:before="280" w:lineRule="auto"/>
        <w:rPr/>
      </w:pPr>
      <w:r w:rsidDel="00000000" w:rsidR="00000000" w:rsidRPr="00000000">
        <w:rPr>
          <w:rFonts w:ascii="Calibri" w:cs="Calibri" w:eastAsia="Calibri" w:hAnsi="Calibri"/>
          <w:b w:val="1"/>
          <w:bCs w:val="1"/>
          <w:color w:val="1b2a4a"/>
          <w:sz w:val="26"/>
          <w:szCs w:val="26"/>
          <w:rtl w:val="0"/>
        </w:rPr>
        <w:t xml:space="preserve">6. Autorización del titular</w:t>
      </w:r>
      <w:r w:rsidDel="00000000" w:rsidR="00000000" w:rsidRPr="00000000">
        <w:rPr>
          <w:rtl w:val="0"/>
        </w:rPr>
      </w:r>
    </w:p>
    <w:p w:rsidR="00000000" w:rsidDel="00000000" w:rsidP="00000000" w:rsidRDefault="00000000" w:rsidRPr="00000000" w14:paraId="00000034">
      <w:pPr>
        <w:keepNext w:val="0"/>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El tratamiento requiere la autorización previa, expresa e informada del titular, la cual se obtiene mediante aceptación digital (click-wrap) al momento de la vinculación, conforme a la Ley 527 de 1999. Cuando el Usuario aporta datos de terceros, declara contar con la autorización de dichas personas. La autorización y su versión quedan registradas de forma inmutable con la trazabilidad correspondiente.</w:t>
      </w:r>
      <w:r w:rsidDel="00000000" w:rsidR="00000000" w:rsidRPr="00000000">
        <w:rPr>
          <w:rtl w:val="0"/>
        </w:rPr>
      </w:r>
    </w:p>
    <w:p w:rsidR="00000000" w:rsidDel="00000000" w:rsidP="00000000" w:rsidRDefault="00000000" w:rsidRPr="00000000" w14:paraId="00000035">
      <w:pPr>
        <w:pStyle w:val="Heading1"/>
        <w:pBdr>
          <w:bottom w:color="c7cdd6" w:space="6" w:sz="6" w:val="single"/>
        </w:pBdr>
        <w:spacing w:after="120" w:before="280" w:lineRule="auto"/>
        <w:rPr/>
      </w:pPr>
      <w:r w:rsidDel="00000000" w:rsidR="00000000" w:rsidRPr="00000000">
        <w:rPr>
          <w:rFonts w:ascii="Calibri" w:cs="Calibri" w:eastAsia="Calibri" w:hAnsi="Calibri"/>
          <w:b w:val="1"/>
          <w:bCs w:val="1"/>
          <w:color w:val="1b2a4a"/>
          <w:sz w:val="26"/>
          <w:szCs w:val="26"/>
          <w:rtl w:val="0"/>
        </w:rPr>
        <w:t xml:space="preserve">7. Derechos de los titulares</w:t>
      </w:r>
      <w:r w:rsidDel="00000000" w:rsidR="00000000" w:rsidRPr="00000000">
        <w:rPr>
          <w:rtl w:val="0"/>
        </w:rPr>
      </w:r>
    </w:p>
    <w:p w:rsidR="00000000" w:rsidDel="00000000" w:rsidP="00000000" w:rsidRDefault="00000000" w:rsidRPr="00000000" w14:paraId="00000036">
      <w:pPr>
        <w:keepNext w:val="0"/>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De acuerdo con la Ley 1581 de 2012, el titular tiene derecho a:</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Conocer, actualizar y rectificar sus datos personales.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Solicitar prueba de la autorización otorgada.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Ser informado sobre el uso que se ha dado a sus datos.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Presentar quejas ante la Superintendencia de Industria y Comercio (SIC) por infracciones a la ley.</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Revocar la autorización y/o solicitar la supresión de los datos cuando no exista un deber legal o contractual de conservarlos.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Acceder de forma gratuita a sus datos.</w:t>
      </w:r>
    </w:p>
    <w:p w:rsidR="00000000" w:rsidDel="00000000" w:rsidP="00000000" w:rsidRDefault="00000000" w:rsidRPr="00000000" w14:paraId="0000003D">
      <w:pPr>
        <w:pStyle w:val="Heading1"/>
        <w:pBdr>
          <w:bottom w:color="c7cdd6" w:space="6" w:sz="6" w:val="single"/>
        </w:pBdr>
        <w:spacing w:after="120" w:before="280" w:lineRule="auto"/>
        <w:rPr/>
      </w:pPr>
      <w:r w:rsidDel="00000000" w:rsidR="00000000" w:rsidRPr="00000000">
        <w:rPr>
          <w:rFonts w:ascii="Calibri" w:cs="Calibri" w:eastAsia="Calibri" w:hAnsi="Calibri"/>
          <w:b w:val="1"/>
          <w:bCs w:val="1"/>
          <w:color w:val="1b2a4a"/>
          <w:sz w:val="26"/>
          <w:szCs w:val="26"/>
          <w:rtl w:val="0"/>
        </w:rPr>
        <w:t xml:space="preserve">8. Procedimiento para consultas y reclamos</w:t>
      </w:r>
      <w:r w:rsidDel="00000000" w:rsidR="00000000" w:rsidRPr="00000000">
        <w:rPr>
          <w:rtl w:val="0"/>
        </w:rPr>
      </w:r>
    </w:p>
    <w:p w:rsidR="00000000" w:rsidDel="00000000" w:rsidP="00000000" w:rsidRDefault="00000000" w:rsidRPr="00000000" w14:paraId="0000003E">
      <w:pPr>
        <w:spacing w:after="60" w:before="140" w:lineRule="auto"/>
        <w:rPr/>
      </w:pPr>
      <w:r w:rsidDel="00000000" w:rsidR="00000000" w:rsidRPr="00000000">
        <w:rPr>
          <w:rFonts w:ascii="Calibri" w:cs="Calibri" w:eastAsia="Calibri" w:hAnsi="Calibri"/>
          <w:b w:val="1"/>
          <w:bCs w:val="1"/>
          <w:color w:val="5a6472"/>
          <w:sz w:val="21"/>
          <w:szCs w:val="21"/>
          <w:rtl w:val="0"/>
        </w:rPr>
        <w:t xml:space="preserve">8.1. Consultas</w:t>
      </w:r>
      <w:r w:rsidDel="00000000" w:rsidR="00000000" w:rsidRPr="00000000">
        <w:rPr>
          <w:rtl w:val="0"/>
        </w:rPr>
      </w:r>
    </w:p>
    <w:p w:rsidR="00000000" w:rsidDel="00000000" w:rsidP="00000000" w:rsidRDefault="00000000" w:rsidRPr="00000000" w14:paraId="0000003F">
      <w:pPr>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El titular podrá consultar sus datos enviando su solicitud al canal de PQRS </w:t>
      </w:r>
      <w:r w:rsidDel="00000000" w:rsidR="00000000" w:rsidRPr="00000000">
        <w:rPr>
          <w:rFonts w:ascii="Cambria" w:cs="Cambria" w:eastAsia="Cambria" w:hAnsi="Cambria"/>
          <w:b w:val="1"/>
          <w:bCs w:val="1"/>
          <w:color w:val="1a1a1a"/>
          <w:sz w:val="22"/>
          <w:szCs w:val="22"/>
          <w:rtl w:val="0"/>
        </w:rPr>
        <w:t xml:space="preserve">info@bitwaveco.com</w:t>
      </w:r>
      <w:r w:rsidDel="00000000" w:rsidR="00000000" w:rsidRPr="00000000">
        <w:rPr>
          <w:rFonts w:ascii="Cambria" w:cs="Cambria" w:eastAsia="Cambria" w:hAnsi="Cambria"/>
          <w:b w:val="0"/>
          <w:bCs w:val="0"/>
          <w:i w:val="0"/>
          <w:iCs w:val="0"/>
          <w:smallCaps w:val="0"/>
          <w:color w:val="1a1a1a"/>
          <w:sz w:val="22"/>
          <w:szCs w:val="22"/>
          <w:rtl w:val="0"/>
        </w:rPr>
        <w:t xml:space="preserve">. La consulta será atendida en un término máximo de </w:t>
      </w:r>
      <w:r w:rsidDel="00000000" w:rsidR="00000000" w:rsidRPr="00000000">
        <w:rPr>
          <w:rFonts w:ascii="Cambria" w:cs="Cambria" w:eastAsia="Cambria" w:hAnsi="Cambria"/>
          <w:b w:val="1"/>
          <w:bCs w:val="1"/>
          <w:i w:val="0"/>
          <w:iCs w:val="0"/>
          <w:smallCaps w:val="0"/>
          <w:color w:val="1a1a1a"/>
          <w:sz w:val="22"/>
          <w:szCs w:val="22"/>
          <w:rtl w:val="0"/>
        </w:rPr>
        <w:t xml:space="preserve">diez (10) días hábiles</w:t>
      </w:r>
      <w:r w:rsidDel="00000000" w:rsidR="00000000" w:rsidRPr="00000000">
        <w:rPr>
          <w:rFonts w:ascii="Cambria" w:cs="Cambria" w:eastAsia="Cambria" w:hAnsi="Cambria"/>
          <w:b w:val="0"/>
          <w:bCs w:val="0"/>
          <w:i w:val="0"/>
          <w:iCs w:val="0"/>
          <w:smallCaps w:val="0"/>
          <w:color w:val="1a1a1a"/>
          <w:sz w:val="22"/>
          <w:szCs w:val="22"/>
          <w:rtl w:val="0"/>
        </w:rPr>
        <w:t xml:space="preserve"> contados desde su recibo; si no fuere posible, se informará al interesado antes del vencimiento, con los motivos y la fecha en que se atenderá, que no superará cinco (5) días hábiles adicionales.</w:t>
      </w:r>
      <w:r w:rsidDel="00000000" w:rsidR="00000000" w:rsidRPr="00000000">
        <w:rPr>
          <w:rtl w:val="0"/>
        </w:rPr>
      </w:r>
    </w:p>
    <w:p w:rsidR="00000000" w:rsidDel="00000000" w:rsidP="00000000" w:rsidRDefault="00000000" w:rsidRPr="00000000" w14:paraId="00000040">
      <w:pPr>
        <w:spacing w:after="60" w:before="140" w:lineRule="auto"/>
        <w:rPr/>
      </w:pPr>
      <w:r w:rsidDel="00000000" w:rsidR="00000000" w:rsidRPr="00000000">
        <w:rPr>
          <w:rFonts w:ascii="Calibri" w:cs="Calibri" w:eastAsia="Calibri" w:hAnsi="Calibri"/>
          <w:b w:val="1"/>
          <w:bCs w:val="1"/>
          <w:color w:val="5a6472"/>
          <w:sz w:val="21"/>
          <w:szCs w:val="21"/>
          <w:rtl w:val="0"/>
        </w:rPr>
        <w:t xml:space="preserve">8.2. Reclamos</w:t>
      </w:r>
      <w:r w:rsidDel="00000000" w:rsidR="00000000" w:rsidRPr="00000000">
        <w:rPr>
          <w:rtl w:val="0"/>
        </w:rPr>
      </w:r>
    </w:p>
    <w:p w:rsidR="00000000" w:rsidDel="00000000" w:rsidP="00000000" w:rsidRDefault="00000000" w:rsidRPr="00000000" w14:paraId="00000041">
      <w:pPr>
        <w:keepNext w:val="0"/>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Si el titular considera que sus datos deben corregirse, actualizarse o suprimirse, podrá presentar un reclamo que será tramitado en un término máximo de </w:t>
      </w:r>
      <w:r w:rsidDel="00000000" w:rsidR="00000000" w:rsidRPr="00000000">
        <w:rPr>
          <w:rFonts w:ascii="Cambria" w:cs="Cambria" w:eastAsia="Cambria" w:hAnsi="Cambria"/>
          <w:b w:val="1"/>
          <w:bCs w:val="1"/>
          <w:i w:val="0"/>
          <w:iCs w:val="0"/>
          <w:smallCaps w:val="0"/>
          <w:color w:val="1a1a1a"/>
          <w:sz w:val="22"/>
          <w:szCs w:val="22"/>
          <w:rtl w:val="0"/>
        </w:rPr>
        <w:t xml:space="preserve">quince (15) días hábiles</w:t>
      </w:r>
      <w:r w:rsidDel="00000000" w:rsidR="00000000" w:rsidRPr="00000000">
        <w:rPr>
          <w:rFonts w:ascii="Cambria" w:cs="Cambria" w:eastAsia="Cambria" w:hAnsi="Cambria"/>
          <w:b w:val="0"/>
          <w:bCs w:val="0"/>
          <w:i w:val="0"/>
          <w:iCs w:val="0"/>
          <w:smallCaps w:val="0"/>
          <w:color w:val="1a1a1a"/>
          <w:sz w:val="22"/>
          <w:szCs w:val="22"/>
          <w:rtl w:val="0"/>
        </w:rPr>
        <w:t xml:space="preserve"> contados desde el día siguiente a su recibo. Si el reclamo resulta incompleto, se requerirá al interesado dentro de los cinco (5) días siguientes; transcurridos dos (2) meses sin respuesta, se entenderá desistido. Cuando no sea posible atender el reclamo dentro del término, se informarán los motivos y la nueva fecha, que no superará ocho (8) días hábiles adicionales.</w:t>
      </w:r>
      <w:r w:rsidDel="00000000" w:rsidR="00000000" w:rsidRPr="00000000">
        <w:rPr>
          <w:rtl w:val="0"/>
        </w:rPr>
      </w:r>
    </w:p>
    <w:p w:rsidR="00000000" w:rsidDel="00000000" w:rsidP="00000000" w:rsidRDefault="00000000" w:rsidRPr="00000000" w14:paraId="00000042">
      <w:pPr>
        <w:pStyle w:val="Heading1"/>
        <w:pBdr>
          <w:bottom w:color="c7cdd6" w:space="6" w:sz="6" w:val="single"/>
        </w:pBdr>
        <w:spacing w:after="120" w:before="280" w:lineRule="auto"/>
        <w:rPr/>
      </w:pPr>
      <w:r w:rsidDel="00000000" w:rsidR="00000000" w:rsidRPr="00000000">
        <w:rPr>
          <w:rFonts w:ascii="Calibri" w:cs="Calibri" w:eastAsia="Calibri" w:hAnsi="Calibri"/>
          <w:b w:val="1"/>
          <w:bCs w:val="1"/>
          <w:color w:val="1b2a4a"/>
          <w:sz w:val="26"/>
          <w:szCs w:val="26"/>
          <w:rtl w:val="0"/>
        </w:rPr>
        <w:t xml:space="preserve">9. Encargados y transferencia / transmisión de datos</w:t>
      </w:r>
      <w:r w:rsidDel="00000000" w:rsidR="00000000" w:rsidRPr="00000000">
        <w:rPr>
          <w:rtl w:val="0"/>
        </w:rPr>
      </w:r>
    </w:p>
    <w:p w:rsidR="00000000" w:rsidDel="00000000" w:rsidP="00000000" w:rsidRDefault="00000000" w:rsidRPr="00000000" w14:paraId="00000043">
      <w:pPr>
        <w:keepNext w:val="0"/>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La información es confidencial y no se comparte con terceros, salvo obligación legal o cuando resulte estrictamente necesario para operar el servicio. Para tal efecto, la Plataforma se apoya en proveedores que actúan como encargados o proveedores tecnológicos, entre ellos: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60"/>
        <w:jc w:val="both"/>
        <w:rPr/>
      </w:pPr>
      <w:r w:rsidDel="00000000" w:rsidR="00000000" w:rsidRPr="00000000">
        <w:rPr>
          <w:rFonts w:ascii="Cambria" w:cs="Cambria" w:eastAsia="Cambria" w:hAnsi="Cambria"/>
          <w:b w:val="1"/>
          <w:bCs w:val="1"/>
          <w:i w:val="0"/>
          <w:iCs w:val="0"/>
          <w:smallCaps w:val="0"/>
          <w:strike w:val="0"/>
          <w:color w:val="1a1a1a"/>
          <w:sz w:val="22"/>
          <w:szCs w:val="22"/>
          <w:u w:val="none"/>
          <w:shd w:fill="auto" w:val="clear"/>
          <w:vertAlign w:val="baseline"/>
          <w:rtl w:val="0"/>
        </w:rPr>
        <w:t xml:space="preserve">Proveedor de correo transaccional</w:t>
      </w: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 (envío de notificaciones y confirmaciones).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60"/>
        <w:jc w:val="both"/>
        <w:rPr/>
      </w:pPr>
      <w:r w:rsidDel="00000000" w:rsidR="00000000" w:rsidRPr="00000000">
        <w:rPr>
          <w:rFonts w:ascii="Cambria" w:cs="Cambria" w:eastAsia="Cambria" w:hAnsi="Cambria"/>
          <w:b w:val="1"/>
          <w:bCs w:val="1"/>
          <w:i w:val="0"/>
          <w:iCs w:val="0"/>
          <w:smallCaps w:val="0"/>
          <w:strike w:val="0"/>
          <w:color w:val="1a1a1a"/>
          <w:sz w:val="22"/>
          <w:szCs w:val="22"/>
          <w:u w:val="none"/>
          <w:shd w:fill="auto" w:val="clear"/>
          <w:vertAlign w:val="baseline"/>
          <w:rtl w:val="0"/>
        </w:rPr>
        <w:t xml:space="preserve">Procesador de pagos — Bold</w:t>
      </w: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 (gestión de cobros; la Plataforma no almacena datos de tarjetas).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60"/>
        <w:jc w:val="both"/>
        <w:rPr/>
      </w:pPr>
      <w:r w:rsidDel="00000000" w:rsidR="00000000" w:rsidRPr="00000000">
        <w:rPr>
          <w:rFonts w:ascii="Cambria" w:cs="Cambria" w:eastAsia="Cambria" w:hAnsi="Cambria"/>
          <w:b w:val="1"/>
          <w:bCs w:val="1"/>
          <w:i w:val="0"/>
          <w:iCs w:val="0"/>
          <w:smallCaps w:val="0"/>
          <w:strike w:val="0"/>
          <w:color w:val="1a1a1a"/>
          <w:sz w:val="22"/>
          <w:szCs w:val="22"/>
          <w:u w:val="none"/>
          <w:shd w:fill="auto" w:val="clear"/>
          <w:vertAlign w:val="baseline"/>
          <w:rtl w:val="0"/>
        </w:rPr>
        <w:t xml:space="preserve">Infraestructura en la nube</w:t>
      </w:r>
      <w:r w:rsidDel="00000000" w:rsidR="00000000" w:rsidRPr="00000000">
        <w:rPr>
          <w:rFonts w:ascii="Cambria" w:cs="Cambria" w:eastAsia="Cambria" w:hAnsi="Cambria"/>
          <w:b w:val="0"/>
          <w:bCs w:val="0"/>
          <w:i w:val="0"/>
          <w:iCs w:val="0"/>
          <w:smallCaps w:val="0"/>
          <w:strike w:val="0"/>
          <w:color w:val="1a1a1a"/>
          <w:sz w:val="22"/>
          <w:szCs w:val="22"/>
          <w:u w:val="none"/>
          <w:shd w:fill="auto" w:val="clear"/>
          <w:vertAlign w:val="baseline"/>
          <w:rtl w:val="0"/>
        </w:rPr>
        <w:t xml:space="preserve"> (alojamiento y almacenamiento seguro de la información).</w:t>
      </w:r>
    </w:p>
    <w:p w:rsidR="00000000" w:rsidDel="00000000" w:rsidP="00000000" w:rsidRDefault="00000000" w:rsidRPr="00000000" w14:paraId="00000047">
      <w:pPr>
        <w:keepNext w:val="0"/>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Con dichos proveedores se procurará la suscripción de los acuerdos de tratamiento que correspondan. Cuando un proveedor esté ubicado fuera de Colombia, se verificarán las condiciones de transferencia internacional exigidas por la normativa.</w:t>
      </w:r>
      <w:r w:rsidDel="00000000" w:rsidR="00000000" w:rsidRPr="00000000">
        <w:rPr>
          <w:rtl w:val="0"/>
        </w:rPr>
      </w:r>
    </w:p>
    <w:p w:rsidR="00000000" w:rsidDel="00000000" w:rsidP="00000000" w:rsidRDefault="00000000" w:rsidRPr="00000000" w14:paraId="00000048">
      <w:pPr>
        <w:pStyle w:val="Heading1"/>
        <w:pBdr>
          <w:bottom w:color="c7cdd6" w:space="6" w:sz="6" w:val="single"/>
        </w:pBdr>
        <w:spacing w:after="120" w:before="280" w:lineRule="auto"/>
        <w:rPr/>
      </w:pPr>
      <w:r w:rsidDel="00000000" w:rsidR="00000000" w:rsidRPr="00000000">
        <w:rPr>
          <w:rFonts w:ascii="Calibri" w:cs="Calibri" w:eastAsia="Calibri" w:hAnsi="Calibri"/>
          <w:b w:val="1"/>
          <w:bCs w:val="1"/>
          <w:color w:val="1b2a4a"/>
          <w:sz w:val="26"/>
          <w:szCs w:val="26"/>
          <w:rtl w:val="0"/>
        </w:rPr>
        <w:t xml:space="preserve">10. Medidas de seguridad</w:t>
      </w:r>
      <w:r w:rsidDel="00000000" w:rsidR="00000000" w:rsidRPr="00000000">
        <w:rPr>
          <w:rtl w:val="0"/>
        </w:rPr>
      </w:r>
    </w:p>
    <w:p w:rsidR="00000000" w:rsidDel="00000000" w:rsidP="00000000" w:rsidRDefault="00000000" w:rsidRPr="00000000" w14:paraId="00000049">
      <w:pPr>
        <w:keepNext w:val="0"/>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La Plataforma adopta medidas técnicas, humanas y administrativas razonables para proteger los datos. Los documentos de vinculación (KYC) se almacenan en un repositorio privado con control de acceso por fila (RLS), y el acceso se restringe al personal autorizado. El registro de aceptaciones es inmutable y no puede editarse ni borrarse.</w:t>
      </w:r>
      <w:r w:rsidDel="00000000" w:rsidR="00000000" w:rsidRPr="00000000">
        <w:rPr>
          <w:rtl w:val="0"/>
        </w:rPr>
      </w:r>
    </w:p>
    <w:p w:rsidR="00000000" w:rsidDel="00000000" w:rsidP="00000000" w:rsidRDefault="00000000" w:rsidRPr="00000000" w14:paraId="0000004A">
      <w:pPr>
        <w:pStyle w:val="Heading1"/>
        <w:pBdr>
          <w:bottom w:color="c7cdd6" w:space="6" w:sz="6" w:val="single"/>
        </w:pBdr>
        <w:spacing w:after="120" w:before="280" w:lineRule="auto"/>
        <w:rPr/>
      </w:pPr>
      <w:r w:rsidDel="00000000" w:rsidR="00000000" w:rsidRPr="00000000">
        <w:rPr>
          <w:rFonts w:ascii="Calibri" w:cs="Calibri" w:eastAsia="Calibri" w:hAnsi="Calibri"/>
          <w:b w:val="1"/>
          <w:bCs w:val="1"/>
          <w:color w:val="1b2a4a"/>
          <w:sz w:val="26"/>
          <w:szCs w:val="26"/>
          <w:rtl w:val="0"/>
        </w:rPr>
        <w:t xml:space="preserve">11. Conservación de los datos</w:t>
      </w:r>
      <w:r w:rsidDel="00000000" w:rsidR="00000000" w:rsidRPr="00000000">
        <w:rPr>
          <w:rtl w:val="0"/>
        </w:rPr>
      </w:r>
    </w:p>
    <w:p w:rsidR="00000000" w:rsidDel="00000000" w:rsidP="00000000" w:rsidRDefault="00000000" w:rsidRPr="00000000" w14:paraId="0000004B">
      <w:pPr>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Los datos se conservarán mientras exista la relación con el Usuario y durante los plazos adicionales exigidos por obligaciones legales, contables y probatorias. Los datos se conservarán durante el tiempo que dure la relación contractual con el Usuario y, posteriormente, durante el plazo necesario para el cumplimiento de las obligaciones legales, contables, fiscales y probatorias exigibles en Colombia. Una vez terminada la relación y finalizados los términos de prescripción de las acciones legales pertinentes, los datos serán suprimidos o anonimizados de forma segura. Vencidos los plazos y cesada la finalidad, los datos se suprimirán o anonimizarán de forma segura.</w:t>
      </w:r>
      <w:r w:rsidDel="00000000" w:rsidR="00000000" w:rsidRPr="00000000">
        <w:rPr>
          <w:rtl w:val="0"/>
        </w:rPr>
      </w:r>
    </w:p>
    <w:p w:rsidR="00000000" w:rsidDel="00000000" w:rsidP="00000000" w:rsidRDefault="00000000" w:rsidRPr="00000000" w14:paraId="0000004C">
      <w:pPr>
        <w:pStyle w:val="Heading1"/>
        <w:pBdr>
          <w:bottom w:color="c7cdd6" w:space="6" w:sz="6" w:val="single"/>
        </w:pBdr>
        <w:spacing w:after="120" w:before="280" w:lineRule="auto"/>
        <w:rPr/>
      </w:pPr>
      <w:r w:rsidDel="00000000" w:rsidR="00000000" w:rsidRPr="00000000">
        <w:rPr>
          <w:rFonts w:ascii="Calibri" w:cs="Calibri" w:eastAsia="Calibri" w:hAnsi="Calibri"/>
          <w:b w:val="1"/>
          <w:bCs w:val="1"/>
          <w:color w:val="1b2a4a"/>
          <w:sz w:val="26"/>
          <w:szCs w:val="26"/>
          <w:rtl w:val="0"/>
        </w:rPr>
        <w:t xml:space="preserve">12. Vigencia y modificaciones</w:t>
      </w:r>
      <w:r w:rsidDel="00000000" w:rsidR="00000000" w:rsidRPr="00000000">
        <w:rPr>
          <w:rtl w:val="0"/>
        </w:rPr>
      </w:r>
    </w:p>
    <w:p w:rsidR="00000000" w:rsidDel="00000000" w:rsidP="00000000" w:rsidRDefault="00000000" w:rsidRPr="00000000" w14:paraId="0000004D">
      <w:pPr>
        <w:spacing w:after="140" w:line="264" w:lineRule="auto"/>
        <w:jc w:val="both"/>
        <w:rPr/>
      </w:pPr>
      <w:r w:rsidDel="00000000" w:rsidR="00000000" w:rsidRPr="00000000">
        <w:rPr>
          <w:rFonts w:ascii="Cambria" w:cs="Cambria" w:eastAsia="Cambria" w:hAnsi="Cambria"/>
          <w:b w:val="0"/>
          <w:bCs w:val="0"/>
          <w:i w:val="0"/>
          <w:iCs w:val="0"/>
          <w:smallCaps w:val="0"/>
          <w:color w:val="1a1a1a"/>
          <w:sz w:val="22"/>
          <w:szCs w:val="22"/>
          <w:rtl w:val="0"/>
        </w:rPr>
        <w:t xml:space="preserve">Esta Política rige a partir de </w:t>
      </w:r>
      <w:r w:rsidDel="00000000" w:rsidR="00000000" w:rsidRPr="00000000">
        <w:rPr>
          <w:rFonts w:ascii="Cambria" w:cs="Cambria" w:eastAsia="Cambria" w:hAnsi="Cambria"/>
          <w:b w:val="1"/>
          <w:bCs w:val="1"/>
          <w:i w:val="0"/>
          <w:iCs w:val="0"/>
          <w:smallCaps w:val="0"/>
          <w:color w:val="1a1a1a"/>
          <w:sz w:val="22"/>
          <w:szCs w:val="22"/>
          <w:rtl w:val="0"/>
        </w:rPr>
        <w:t xml:space="preserve">la fecha en que el Titular acepte la presente Política mediante el mecanismo de aceptación digital (click-wrap) dispuesto en la Plataforma</w:t>
      </w:r>
      <w:r w:rsidDel="00000000" w:rsidR="00000000" w:rsidRPr="00000000">
        <w:rPr>
          <w:rFonts w:ascii="Cambria" w:cs="Cambria" w:eastAsia="Cambria" w:hAnsi="Cambria"/>
          <w:b w:val="0"/>
          <w:bCs w:val="0"/>
          <w:i w:val="0"/>
          <w:iCs w:val="0"/>
          <w:smallCaps w:val="0"/>
          <w:color w:val="1a1a1a"/>
          <w:sz w:val="22"/>
          <w:szCs w:val="22"/>
          <w:rtl w:val="0"/>
        </w:rPr>
        <w:t xml:space="preserve">. Las bases de datos se conservarán conforme a la sección 11. Cualquier cambio sustancial será informado a través de la Plataforma y publicado en www.tasadirecta.com, generando una nueva versión</w:t>
      </w:r>
      <w:r w:rsidDel="00000000" w:rsidR="00000000" w:rsidRPr="00000000">
        <w:rPr>
          <w:rtl w:val="0"/>
        </w:rPr>
        <w:t xml:space="preserve">.</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Bdr>
        <w:top w:color="c7cdd6" w:space="6" w:sz="4" w:val="single"/>
      </w:pBdr>
      <w:tabs>
        <w:tab w:val="right" w:leader="none" w:pos="9360"/>
      </w:tabs>
      <w:spacing w:before="0" w:lineRule="auto"/>
      <w:rPr/>
    </w:pPr>
    <w:r w:rsidDel="00000000" w:rsidR="00000000" w:rsidRPr="00000000">
      <w:rPr>
        <w:rFonts w:ascii="Calibri" w:cs="Calibri" w:eastAsia="Calibri" w:hAnsi="Calibri"/>
        <w:color w:val="5a6472"/>
        <w:sz w:val="16"/>
        <w:szCs w:val="16"/>
        <w:rtl w:val="0"/>
      </w:rPr>
      <w:t xml:space="preserve">Versión v1 — julio de 2026Página </w:t>
    </w:r>
    <w:r w:rsidDel="00000000" w:rsidR="00000000" w:rsidRPr="00000000">
      <w:rPr>
        <w:rFonts w:ascii="Calibri" w:cs="Calibri" w:eastAsia="Calibri" w:hAnsi="Calibri"/>
        <w:color w:val="5a6472"/>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a6472"/>
        <w:sz w:val="16"/>
        <w:szCs w:val="16"/>
        <w:rtl w:val="0"/>
      </w:rPr>
      <w:t xml:space="preserve"> de </w:t>
    </w:r>
    <w:r w:rsidDel="00000000" w:rsidR="00000000" w:rsidRPr="00000000">
      <w:rPr>
        <w:rFonts w:ascii="Calibri" w:cs="Calibri" w:eastAsia="Calibri" w:hAnsi="Calibri"/>
        <w:color w:val="5a6472"/>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Bdr>
        <w:bottom w:color="c7cdd6" w:space="6" w:sz="4" w:val="single"/>
      </w:pBdr>
      <w:tabs>
        <w:tab w:val="right" w:leader="none" w:pos="9360"/>
      </w:tabs>
      <w:spacing w:after="0" w:lineRule="auto"/>
      <w:rPr/>
    </w:pPr>
    <w:r w:rsidDel="00000000" w:rsidR="00000000" w:rsidRPr="00000000">
      <w:rPr>
        <w:rFonts w:ascii="Calibri" w:cs="Calibri" w:eastAsia="Calibri" w:hAnsi="Calibri"/>
        <w:b w:val="1"/>
        <w:bCs w:val="1"/>
        <w:color w:val="1b2a4a"/>
        <w:sz w:val="18"/>
        <w:szCs w:val="18"/>
        <w:rtl w:val="0"/>
      </w:rPr>
      <w:t xml:space="preserve">TASA DIRECTA</w:t>
    </w:r>
    <w:r w:rsidDel="00000000" w:rsidR="00000000" w:rsidRPr="00000000">
      <w:rPr>
        <w:rFonts w:ascii="Calibri" w:cs="Calibri" w:eastAsia="Calibri" w:hAnsi="Calibri"/>
        <w:color w:val="5a6472"/>
        <w:sz w:val="18"/>
        <w:szCs w:val="18"/>
        <w:rtl w:val="0"/>
      </w:rPr>
      <w:t xml:space="preserve">  ·  BitWave S.A.S.</w:t>
    </w:r>
    <w:r w:rsidDel="00000000" w:rsidR="00000000" w:rsidRPr="00000000">
      <w:rPr>
        <w:rFonts w:ascii="Calibri" w:cs="Calibri" w:eastAsia="Calibri" w:hAnsi="Calibri"/>
        <w:color w:val="5a6472"/>
        <w:sz w:val="16"/>
        <w:szCs w:val="16"/>
        <w:rtl w:val="0"/>
      </w:rPr>
      <w:t xml:space="preserve">Política de Datos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color w:val="34507a"/>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300"/>
      </w:pPr>
      <w:rPr/>
    </w:lvl>
    <w:lvl w:ilvl="1">
      <w:start w:val="1"/>
      <w:numFmt w:val="lowerLetter"/>
      <w:lvlText w:val="%2)"/>
      <w:lvlJc w:val="left"/>
      <w:pPr>
        <w:ind w:left="900" w:hanging="3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b2a4a"/>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34507a"/>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