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0"/>
          <w:szCs w:val="20"/>
          <w:rtl w:val="0"/>
        </w:rPr>
        <w:t xml:space="preserve">TASA DIRECTA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b2a4a" w:space="2" w:sz="18" w:val="single"/>
        </w:pBd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5a6472"/>
          <w:sz w:val="18"/>
          <w:szCs w:val="18"/>
          <w:rtl w:val="0"/>
        </w:rPr>
        <w:t xml:space="preserve">Documentos legales de la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40"/>
          <w:szCs w:val="40"/>
          <w:rtl w:val="0"/>
        </w:rPr>
        <w:t xml:space="preserve">Términos y Condiciones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5a6472"/>
          <w:sz w:val="22"/>
          <w:szCs w:val="22"/>
          <w:rtl w:val="0"/>
        </w:rPr>
        <w:t xml:space="preserve">Uso de la plataforma Tasa Directa · marketplace B2B de contacto entre PCD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7cdd6" w:space="0" w:sz="4" w:val="single"/>
          <w:left w:color="000000" w:space="0" w:sz="0" w:val="nil"/>
          <w:bottom w:color="c7cdd6" w:space="0" w:sz="4" w:val="single"/>
          <w:right w:color="000000" w:space="0" w:sz="0" w:val="nil"/>
          <w:insideH w:color="c7cdd6" w:space="0" w:sz="4" w:val="single"/>
          <w:insideV w:color="000000" w:space="0" w:sz="0" w:val="nil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Operador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a1a1a"/>
                <w:sz w:val="21"/>
                <w:szCs w:val="21"/>
                <w:rtl w:val="0"/>
              </w:rPr>
              <w:t xml:space="preserve">BitWave S.A.S. — NIT 901.920.120-1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a1a1a"/>
                <w:sz w:val="21"/>
                <w:szCs w:val="21"/>
                <w:rtl w:val="0"/>
              </w:rPr>
              <w:t xml:space="preserve">Tasa Directa — www.tasadirecta.com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bottom w:color="c7cdd6" w:space="6" w:sz="6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6"/>
          <w:szCs w:val="26"/>
          <w:rtl w:val="0"/>
        </w:rPr>
        <w:t xml:space="preserve">1. Aceptación de los términos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Estos Términos y Condiciones regulan el uso de la plataforma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color w:val="1a1a1a"/>
          <w:sz w:val="22"/>
          <w:szCs w:val="22"/>
          <w:rtl w:val="0"/>
        </w:rPr>
        <w:t xml:space="preserve">Tasa Directa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 (www.tasadirecta.com), operada por BitWave S.A.S. (NIT 901.920.120-1). Al registrarse y aceptar digitalmente estos términos, el usuario declara conocerlos y obligarse por ellos. La aceptación se realiza mediante mecanismo «click-wrap», con validez conforme a la Ley 527 de 1999.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c7cdd6" w:space="6" w:sz="6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6"/>
          <w:szCs w:val="26"/>
          <w:rtl w:val="0"/>
        </w:rPr>
        <w:t xml:space="preserve">2. Descripción y naturaleza del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Tasa Directa es un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color w:val="1a1a1a"/>
          <w:sz w:val="22"/>
          <w:szCs w:val="22"/>
          <w:rtl w:val="0"/>
        </w:rPr>
        <w:t xml:space="preserve">marketplace B2B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 que pone en contacto la oferta y la demanda de divisas entre Profesionales de Compra y Venta de Divisas (PCD) autorizados por la DIAN. El servicio es exclusivamente tecnológico y de contacto.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1b2a4a" w:space="0" w:sz="4" w:val="single"/>
          <w:left w:color="1b2a4a" w:space="0" w:sz="24" w:val="single"/>
          <w:bottom w:color="1b2a4a" w:space="0" w:sz="4" w:val="single"/>
          <w:right w:color="1b2a4a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2f5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spacing w:after="80" w:line="264" w:lineRule="auto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color w:val="1a1a1a"/>
                <w:sz w:val="22"/>
                <w:szCs w:val="22"/>
                <w:rtl w:val="0"/>
              </w:rPr>
              <w:t xml:space="preserve">La Plataforma NO ejecuta, NO intermedia, NO liquida y NO custodia ninguna operación cambiaria ni movimiento de dinero. Únicamente pone en contacto a las partes.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264" w:lineRule="auto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color w:val="1a1a1a"/>
                <w:sz w:val="22"/>
                <w:szCs w:val="22"/>
                <w:rtl w:val="0"/>
              </w:rPr>
              <w:t xml:space="preserve">La negociación, el cierre, el pago y la totalidad de la operación ocurren DIRECTAMENTE entre los PCD, por fuera de la Plataforma y bajo su exclusiva responsabilidad.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Tasa Directa no es una casa de cambio, ni un intermediario del mercado cambiario, ni un sistema de pagos, ni una billetera de activos virtuales.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c7cdd6" w:space="6" w:sz="6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6"/>
          <w:szCs w:val="26"/>
          <w:rtl w:val="0"/>
        </w:rPr>
        <w:t xml:space="preserve">3. Requisitos de uso y cuenta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Solo pueden usar el servicio los PCD autorizados por la DIAN que completen la verificación de identidad y autorización.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usuario se registra con un correo (que es su usuario de acceso) y una contraseña, y confirma su correo.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usuario es responsable de la veracidad de la información suministrada y de mantenerla actualizada.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usuario custodia sus credenciales y responde por las actividades realizadas con su cuenta.</w:t>
      </w:r>
    </w:p>
    <w:p w:rsidR="00000000" w:rsidDel="00000000" w:rsidP="00000000" w:rsidRDefault="00000000" w:rsidRPr="00000000" w14:paraId="00000017">
      <w:pPr>
        <w:pStyle w:val="Heading1"/>
        <w:pBdr>
          <w:bottom w:color="c7cdd6" w:space="6" w:sz="6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6"/>
          <w:szCs w:val="26"/>
          <w:rtl w:val="0"/>
        </w:rPr>
        <w:t xml:space="preserve">4. Modelo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El acceso al mercado se presta mediante una suscripción única «estándar» cobrada por empresa (NIT). Opcionalmente, el usuario puede adquirir tokens prepagados para servicios de visibilidad y velocidad de aviso (destacar oferta, alertas premium, oferta urgente, republicación). Estos servicios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color w:val="1a1a1a"/>
          <w:sz w:val="22"/>
          <w:szCs w:val="22"/>
          <w:rtl w:val="0"/>
        </w:rPr>
        <w:t xml:space="preserve">no otorgan acceso a información privilegiada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. Los pagos se procesan a través de Bold; la Plataforma no almacena datos de tarjetas.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c7cdd6" w:space="6" w:sz="6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6"/>
          <w:szCs w:val="26"/>
          <w:rtl w:val="0"/>
        </w:rPr>
        <w:t xml:space="preserve">5. Conducta del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El usuario se obliga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Usar la Plataforma de buena fe y conforme a la ley.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Publicar información veraz y no engañosa.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 suplantar identidades ni usar datos falsos.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 emplear la Plataforma para actividades ilícitas, incluidas conductas asociadas al lavado de activos o la financiación del terrorismo.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 interferir con el funcionamiento del servicio ni intentar acceder de forma no autorizada a sistemas o datos.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Cumplir por su cuenta su propio régimen de cumplimiento (SARLAFT y obligaciones cambiarias y tributarias).</w:t>
      </w:r>
    </w:p>
    <w:p w:rsidR="00000000" w:rsidDel="00000000" w:rsidP="00000000" w:rsidRDefault="00000000" w:rsidRPr="00000000" w14:paraId="00000021">
      <w:pPr>
        <w:pStyle w:val="Heading1"/>
        <w:pBdr>
          <w:bottom w:color="c7cdd6" w:space="6" w:sz="6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6"/>
          <w:szCs w:val="26"/>
          <w:rtl w:val="0"/>
        </w:rPr>
        <w:t xml:space="preserve">6. Contenido y publicaciones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Las cotizaciones, ofertas y demás contenidos publicados por los usuarios son de su exclusiva responsabilidad. La Plataforma no garantiza su veracidad, vigencia o exactitud, y podrá retirar contenidos que infrinjan estos términos o la ley.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pBdr>
          <w:bottom w:color="c7cdd6" w:space="6" w:sz="6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6"/>
          <w:szCs w:val="26"/>
          <w:rtl w:val="0"/>
        </w:rPr>
        <w:t xml:space="preserve">7. Propiedad intelectual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El software, las marcas, el nombre comercial, los diseños, las bases de datos y demás elementos de la Plataforma son propiedad de BitWave S.A.S. o de sus licenciantes. Se concede al usuario una licencia de uso limitada, no exclusiva e intransferible, únicamente para acceder al servicio. Queda prohibida su reproducción, distribución o explotación no autorizada.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Bdr>
          <w:bottom w:color="c7cdd6" w:space="6" w:sz="6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6"/>
          <w:szCs w:val="26"/>
          <w:rtl w:val="0"/>
        </w:rPr>
        <w:t xml:space="preserve">8. Disponibilidad del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La Plataforma procura una disponibilidad razonable, pero no garantiza operación ininterrumpida. Podrá realizar mantenimientos, actualizaciones o suspensiones temporales. No será responsable por interrupciones o fallas atribuibles a fuerza mayor, caso fortuito o a proveedores tecnológicos de terceros.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Bdr>
          <w:bottom w:color="c7cdd6" w:space="6" w:sz="6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6"/>
          <w:szCs w:val="26"/>
          <w:rtl w:val="0"/>
        </w:rPr>
        <w:t xml:space="preserve">9. Limitación de responsabilidad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Como facilitador tecnológico de contacto, BitWave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color w:val="1a1a1a"/>
          <w:sz w:val="22"/>
          <w:szCs w:val="22"/>
          <w:rtl w:val="0"/>
        </w:rPr>
        <w:t xml:space="preserve">no responde por las operaciones que los usuarios pacten entre sí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, ni por su cumplimiento, legalidad o resultado, ni por la solvencia o idoneidad de otros usuarios. El usuario asume el riesgo de sus negociaciones. Las limitaciones aplican en la máxima medida permitida por la ley, sin afectar normas imperativas.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Bdr>
          <w:bottom w:color="c7cdd6" w:space="6" w:sz="6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6"/>
          <w:szCs w:val="26"/>
          <w:rtl w:val="0"/>
        </w:rPr>
        <w:t xml:space="preserve">10. Protección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El tratamiento de datos personales se rige por la Política de Tratamiento de Datos Personales y el Aviso de Privacidad de Tasa Directa, disponibles en www.tasadirecta.com, que el usuario declara conocer y aceptar.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pBdr>
          <w:bottom w:color="c7cdd6" w:space="6" w:sz="6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6"/>
          <w:szCs w:val="26"/>
          <w:rtl w:val="0"/>
        </w:rPr>
        <w:t xml:space="preserve">11. Suspensión y terminación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La Plataforma podrá suspender o cancelar cuentas ante el incumplimiento de estos términos, la pérdida de la autorización DIAN, el uso indebido o la mora en el pago. El usuario puede cancelar su cuenta en cualquier momento, sin perjuicio de las obligaciones 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Bdr>
          <w:bottom w:color="c7cdd6" w:space="6" w:sz="6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6"/>
          <w:szCs w:val="26"/>
          <w:rtl w:val="0"/>
        </w:rPr>
        <w:t xml:space="preserve">12. Modificaciones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BitWave podrá modificar estos términos y publicar nuevas versiones. Los cambios sustanciales requerirán una nueva aceptación electrónica para seguir usando el servicio, conservándose la trazabilidad de la versión aceptada.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Bdr>
          <w:bottom w:color="c7cdd6" w:space="6" w:sz="6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6"/>
          <w:szCs w:val="26"/>
          <w:rtl w:val="0"/>
        </w:rPr>
        <w:t xml:space="preserve">13. Ley aplicable y jurisdicción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Estos términos se rigen por las leyes de la República de Colombia. En lo aplicable a comercio electrónico se observará la Ley 1480 de 2011. Las controversias se someterán a tr</w:t>
      </w:r>
      <w:r w:rsidDel="00000000" w:rsidR="00000000" w:rsidRPr="00000000">
        <w:rPr>
          <w:rtl w:val="0"/>
        </w:rPr>
        <w:t xml:space="preserve">ibunal de arbitraje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 , con sede en </w:t>
      </w:r>
      <w:r w:rsidDel="00000000" w:rsidR="00000000" w:rsidRPr="00000000">
        <w:rPr>
          <w:rtl w:val="0"/>
        </w:rPr>
        <w:t xml:space="preserve">Medellín.</w:t>
      </w:r>
    </w:p>
    <w:p w:rsidR="00000000" w:rsidDel="00000000" w:rsidP="00000000" w:rsidRDefault="00000000" w:rsidRPr="00000000" w14:paraId="00000031">
      <w:pPr>
        <w:pStyle w:val="Heading1"/>
        <w:pBdr>
          <w:bottom w:color="c7cdd6" w:space="6" w:sz="6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6"/>
          <w:szCs w:val="26"/>
          <w:rtl w:val="0"/>
        </w:rPr>
        <w:t xml:space="preserve">14. Contacto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Para dudas o solicitudes sobre estos términos: info@bit</w:t>
      </w:r>
      <w:r w:rsidDel="00000000" w:rsidR="00000000" w:rsidRPr="00000000">
        <w:rPr>
          <w:rtl w:val="0"/>
        </w:rPr>
        <w:t xml:space="preserve">waveco.com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Bdr>
        <w:top w:color="c7cdd6" w:space="6" w:sz="4" w:val="single"/>
      </w:pBdr>
      <w:tabs>
        <w:tab w:val="right" w:leader="none" w:pos="9360"/>
      </w:tabs>
      <w:spacing w:before="0" w:lineRule="auto"/>
      <w:rPr/>
    </w:pPr>
    <w:r w:rsidDel="00000000" w:rsidR="00000000" w:rsidRPr="00000000">
      <w:rPr>
        <w:rFonts w:ascii="Calibri" w:cs="Calibri" w:eastAsia="Calibri" w:hAnsi="Calibri"/>
        <w:color w:val="5a6472"/>
        <w:sz w:val="16"/>
        <w:szCs w:val="16"/>
        <w:rtl w:val="0"/>
      </w:rPr>
      <w:t xml:space="preserve">Versión v1 — julio de 2026Página </w:t>
    </w:r>
    <w:r w:rsidDel="00000000" w:rsidR="00000000" w:rsidRPr="00000000"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a6472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Bdr>
        <w:bottom w:color="c7cdd6" w:space="6" w:sz="4" w:val="single"/>
      </w:pBdr>
      <w:tabs>
        <w:tab w:val="right" w:leader="none" w:pos="9360"/>
      </w:tabs>
      <w:spacing w:after="0" w:lineRule="auto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1b2a4a"/>
        <w:sz w:val="18"/>
        <w:szCs w:val="18"/>
        <w:rtl w:val="0"/>
      </w:rPr>
      <w:t xml:space="preserve">TASA DIRECTA</w:t>
    </w:r>
    <w:r w:rsidDel="00000000" w:rsidR="00000000" w:rsidRPr="00000000">
      <w:rPr>
        <w:rFonts w:ascii="Calibri" w:cs="Calibri" w:eastAsia="Calibri" w:hAnsi="Calibri"/>
        <w:color w:val="5a6472"/>
        <w:sz w:val="18"/>
        <w:szCs w:val="18"/>
        <w:rtl w:val="0"/>
      </w:rPr>
      <w:t xml:space="preserve">  ·  BitWave S.A.S.</w:t>
    </w:r>
    <w:r w:rsidDel="00000000" w:rsidR="00000000" w:rsidRPr="00000000">
      <w:rPr>
        <w:rFonts w:ascii="Calibri" w:cs="Calibri" w:eastAsia="Calibri" w:hAnsi="Calibri"/>
        <w:color w:val="5a6472"/>
        <w:sz w:val="16"/>
        <w:szCs w:val="16"/>
        <w:rtl w:val="0"/>
      </w:rPr>
      <w:t xml:space="preserve">Términos y Condiciones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>
        <w:color w:val="34507a"/>
      </w:rPr>
    </w:lvl>
    <w:lvl w:ilvl="1">
      <w:start w:val="1"/>
      <w:numFmt w:val="bullet"/>
      <w:lvlText w:val="–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b2a4a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4507a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