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TASA DIRECTA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b2a4a" w:space="2" w:sz="18" w:val="single"/>
        </w:pBd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5a6472"/>
          <w:sz w:val="18"/>
          <w:szCs w:val="18"/>
          <w:rtl w:val="0"/>
        </w:rPr>
        <w:t xml:space="preserve">Documentos legales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Política de Verificación de Identidad y Vinculación (KYC)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a6472"/>
          <w:sz w:val="22"/>
          <w:szCs w:val="22"/>
          <w:rtl w:val="0"/>
        </w:rPr>
        <w:t xml:space="preserve">Documento informativo · qué se solicita, para qué y su alcance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7cdd6" w:space="0" w:sz="4" w:val="single"/>
          <w:left w:color="000000" w:space="0" w:sz="0" w:val="nil"/>
          <w:bottom w:color="c7cdd6" w:space="0" w:sz="4" w:val="single"/>
          <w:right w:color="000000" w:space="0" w:sz="0" w:val="nil"/>
          <w:insideH w:color="c7cdd6" w:space="0" w:sz="4" w:val="single"/>
          <w:insideV w:color="000000" w:space="0" w:sz="0" w:val="nil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Operador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21"/>
                <w:szCs w:val="21"/>
                <w:rtl w:val="0"/>
              </w:rPr>
              <w:t xml:space="preserve">BitWave S.A.S. — NIT 901.920.120-1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21"/>
                <w:szCs w:val="21"/>
                <w:rtl w:val="0"/>
              </w:rPr>
              <w:t xml:space="preserve">Tasa Directa — www.tasadirecta.com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1.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Esta Política describe el proceso de verificación de identidad y vinculación que Tasa Directa aplica a los Profesionales de Compra y Venta de Divisas (PCD) que solicitan acceso al marketplace, los documentos que se solicitan y el alcance de dicha verificación.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2. Alcance y límite de la verificación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1b2a4a" w:space="0" w:sz="4" w:val="single"/>
          <w:left w:color="1b2a4a" w:space="0" w:sz="24" w:val="single"/>
          <w:bottom w:color="1b2a4a" w:space="0" w:sz="4" w:val="single"/>
          <w:right w:color="1b2a4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5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80" w:line="264" w:lineRule="auto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1a1a1a"/>
                <w:sz w:val="22"/>
                <w:szCs w:val="22"/>
                <w:rtl w:val="0"/>
              </w:rPr>
              <w:t xml:space="preserve">La verificación que realiza la Plataforma se limita a comprobar la identidad del PCD y la vigencia de su autorización ante la DIAN, para efectos de admisión al marketplace.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64" w:lineRule="auto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1a1a1a"/>
                <w:sz w:val="22"/>
                <w:szCs w:val="22"/>
                <w:rtl w:val="0"/>
              </w:rPr>
              <w:t xml:space="preserve">Esta verificación NO sustituye ni asume el cumplimiento normativo propio del PCD (SARLAFT, oficial de cumplimiento, reportes, obligaciones cambiarias y tributarias), que es de su exclusiva responsabilidad.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Tasa Directa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no es sujeto obligado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 del régimen cambiario ni del régimen SARLAFT respecto de las operaciones de los PCD, porque no ejecuta, intermedia, liquida ni custodia operaciones. Los sujetos obligados son los propios PCD.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3. Proceso de vinculación (3 etapas)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472"/>
          <w:sz w:val="21"/>
          <w:szCs w:val="21"/>
          <w:rtl w:val="0"/>
        </w:rPr>
        <w:t xml:space="preserve">Etapa 1 — Crear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El usuario registra un correo (que es su usuario de acceso) y una contraseña, y confirma el correo mediante un enlace.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472"/>
          <w:sz w:val="21"/>
          <w:szCs w:val="21"/>
          <w:rtl w:val="0"/>
        </w:rPr>
        <w:t xml:space="preserve">Etapa 2 — Perfil de empresa y documentos (KYC)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El usuario completa los datos de la empresa, del representante legal y de la persona de contacto, y carga los documentos de vinculación. La Plataforma revisa la identidad y la autorización, y aprueba o rechaza la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472"/>
          <w:sz w:val="21"/>
          <w:szCs w:val="21"/>
          <w:rtl w:val="0"/>
        </w:rPr>
        <w:t xml:space="preserve">Etapa 3 — Aceptación de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Aprobada la empresa, el usuario acepta digitalmente (click-wrap) el contrato de prestación de servicios y la autorización de tratamiento de datos antes de acceder al mercado. La aceptación queda registrada con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4. Documentos que se solicitan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472"/>
          <w:sz w:val="21"/>
          <w:szCs w:val="21"/>
          <w:rtl w:val="0"/>
        </w:rPr>
        <w:t xml:space="preserve">4.1. Requeridos para aprobar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RUT (Registro Único Tributario) vigente, expedido por la DIAN.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Certificado de existencia y representación legal de la Cámara de Comercio, con expedición no mayor a 30 días.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Resolución de la DIAN que autoriza a la empresa como Profesional de Compra y Venta de Divisas.</w:t>
      </w:r>
    </w:p>
    <w:p w:rsidR="00000000" w:rsidDel="00000000" w:rsidP="00000000" w:rsidRDefault="00000000" w:rsidRPr="00000000" w14:paraId="0000001D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472"/>
          <w:sz w:val="21"/>
          <w:szCs w:val="21"/>
          <w:rtl w:val="0"/>
        </w:rPr>
        <w:t xml:space="preserve">4.2. Opcional (no requerido para aprobar)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Composición accionaria (detalle de socios o accionistas).</w:t>
      </w:r>
    </w:p>
    <w:p w:rsidR="00000000" w:rsidDel="00000000" w:rsidP="00000000" w:rsidRDefault="00000000" w:rsidRPr="00000000" w14:paraId="0000001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Formatos aceptados: PDF, JPG o PNG (máximo 10 MB por archivo). Los documentos se almacenan en un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repositorio privado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 (no público), con control de acceso por fila (RLS) y acceso restringido al personal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5. Datos personales en los documentos KYC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Algunos documentos pueden contener datos personales del representante legal, de la persona de contacto o de terceros (por ejemplo, socios o accionistas en la composición accionaria). Estos datos se tratan conforme a la Política de Tratamiento de Datos Personales y a la autorización otorgada, con las finalidades de verificación de identidad y de dar seguridad y confianza al marketplace.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El usuario que aporta datos de terceros declara contar con la autorización de dichas personas. </w:t>
      </w:r>
      <w:r w:rsidDel="00000000" w:rsidR="00000000" w:rsidRPr="00000000">
        <w:rPr>
          <w:rtl w:val="0"/>
        </w:rPr>
        <w:t xml:space="preserve">BitWave S.A.S. actúa como </w:t>
      </w:r>
      <w:r w:rsidDel="00000000" w:rsidR="00000000" w:rsidRPr="00000000">
        <w:rPr>
          <w:b w:val="1"/>
          <w:bCs w:val="1"/>
          <w:rtl w:val="0"/>
        </w:rPr>
        <w:t xml:space="preserve">Responsable</w:t>
      </w:r>
      <w:r w:rsidDel="00000000" w:rsidR="00000000" w:rsidRPr="00000000">
        <w:rPr>
          <w:rtl w:val="0"/>
        </w:rPr>
        <w:t xml:space="preserve"> (no Encargado) del tratamiento de los datos personales de terceros contenidos en los documentos de vinculación (por ejemplo, socios o accionistas en la composición accionaria), toda vez que los trata para una finalidad propia —verificación de admisión al marketplace y seguridad de los demás usuarios— y no meramente por instrucción del PCD que los aporta. En consecuencia, el PCD debe contar previamente con la autorización de dichos terceros para compartir sus datos con BitWave, y estos terceros quedan protegidos como titulares bajo la Política de Tratamiento de Datos Personales de la plataforma.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6. Resultado de la 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Aprobación: la empresa queda habilitada para aceptar los documentos legales y acceder al mercado.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Rechazo o solicitud de subsanación: cuando la documentación esté incompleta, vencida o no permita verificar la identidad o la autorización DIAN vigente.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Revisión posterior: la Plataforma podrá solicitar la actualización de documentos y verificar la vigencia de la autorización durante la relación.</w:t>
      </w:r>
    </w:p>
    <w:p w:rsidR="00000000" w:rsidDel="00000000" w:rsidP="00000000" w:rsidRDefault="00000000" w:rsidRPr="00000000" w14:paraId="00000028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7. Conservación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Los documentos y datos de vinculación se conservan mientras exista la relación con el usuario y durante los plazos legales y probatorios aplicables. El plazo específico se define en la Política de Tratamiento de Datos Personales: </w:t>
      </w:r>
      <w:r w:rsidDel="00000000" w:rsidR="00000000" w:rsidRPr="00000000">
        <w:rPr>
          <w:rtl w:val="0"/>
        </w:rPr>
        <w:t xml:space="preserve">“Los datos se conservarán mientras exista la relación con el Usuario y durante los plazos adicionales exigidos por obligaciones legales, contables y probatorias. Los datos se conservarán durante el tiempo que dure la relación contractual con el Usuario y, posteriormente, durante el plazo necesario para el cumplimiento de las obligaciones legales, contables, fiscales y probatorias en Colombia. Una vez terminada la relación y finalizados los términos de prescripción de las acciones legales pertinentes, los datos serán suprimidos o anonimizados de forma segura. Vencidos los plazos y cesada la finalidad, los datos se suprimirán o anonimizarán de forma segura”.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color="c7cdd6" w:space="6" w:sz="4" w:val="single"/>
      </w:pBdr>
      <w:tabs>
        <w:tab w:val="right" w:leader="none" w:pos="9360"/>
      </w:tabs>
      <w:spacing w:before="0" w:lineRule="auto"/>
      <w:rPr/>
    </w:pP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Versión v1 — julio de 2026Página 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bottom w:color="c7cdd6" w:space="6" w:sz="4" w:val="single"/>
      </w:pBdr>
      <w:tabs>
        <w:tab w:val="right" w:leader="none" w:pos="9360"/>
      </w:tabs>
      <w:spacing w:after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b2a4a"/>
        <w:sz w:val="18"/>
        <w:szCs w:val="18"/>
        <w:rtl w:val="0"/>
      </w:rPr>
      <w:t xml:space="preserve">TASA DIRECTA</w:t>
    </w:r>
    <w:r w:rsidDel="00000000" w:rsidR="00000000" w:rsidRPr="00000000">
      <w:rPr>
        <w:rFonts w:ascii="Calibri" w:cs="Calibri" w:eastAsia="Calibri" w:hAnsi="Calibri"/>
        <w:color w:val="5a6472"/>
        <w:sz w:val="18"/>
        <w:szCs w:val="18"/>
        <w:rtl w:val="0"/>
      </w:rPr>
      <w:t xml:space="preserve">  ·  BitWave S.A.S.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Política KYC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>
        <w:color w:val="34507a"/>
      </w:rPr>
    </w:lvl>
    <w:lvl w:ilvl="1">
      <w:start w:val="1"/>
      <w:numFmt w:val="bullet"/>
      <w:lvlText w:val="–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2a4a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4507a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