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Jain Group Protocols</w:t>
      </w:r>
    </w:p>
    <w:p w:rsidR="00000000" w:rsidDel="00000000" w:rsidP="00000000" w:rsidRDefault="00000000" w:rsidRPr="00000000" w14:paraId="00000002">
      <w:pPr>
        <w:pageBreakBefore w:val="0"/>
        <w:rPr>
          <w:b w:val="1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Library construction protocol for nanogram amounts of total RNA for RNAseq – LOW VOLUME.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1) 3ng, 10ng or 30ng total RNA (in 1µl) was reverse transcribed and amplified using the </w:t>
      </w:r>
      <w:r w:rsidDel="00000000" w:rsidR="00000000" w:rsidRPr="00000000">
        <w:rPr>
          <w:color w:val="000000"/>
          <w:rtl w:val="0"/>
        </w:rPr>
        <w:t xml:space="preserve">SMARTer® Ultra™ Low RNA Kit for Illumina® Sequencing (Clontech, cat# 634936)</w:t>
      </w:r>
      <w:r w:rsidDel="00000000" w:rsidR="00000000" w:rsidRPr="00000000">
        <w:rPr>
          <w:rtl w:val="0"/>
        </w:rPr>
        <w:t xml:space="preserve"> according to the manufacturer’s instructions. 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2) The cDNA was sheared for 3 minutes with the Covaris ultra-sonicator.  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3) The libraries were prepared using VeraSeq™ ULtra DNA Polymerase (Enzymatics, cat# P7520L) for 12 cycles.  PCR conditions were 98°C for 30s; 12 cycles of 98°Cfor 10s, 64°C for 30s, 72°C for 30s; 72°C for 5 min and then hold at 4°C.  The forward primer used was: AATGATACGGCGACCACCGAGATCTACACTCTTTCCCTACACGACGCTCTTCCGATCT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The reverse primer with the indexes used were:</w:t>
      </w:r>
    </w:p>
    <w:tbl>
      <w:tblPr>
        <w:tblStyle w:val="Table1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5"/>
        <w:gridCol w:w="1173"/>
        <w:gridCol w:w="1724"/>
        <w:tblGridChange w:id="0">
          <w:tblGrid>
            <w:gridCol w:w="6345"/>
            <w:gridCol w:w="1173"/>
            <w:gridCol w:w="17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pageBreakBefore w:val="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Reverse Primer</w:t>
            </w:r>
          </w:p>
        </w:tc>
        <w:tc>
          <w:tcPr/>
          <w:p w:rsidR="00000000" w:rsidDel="00000000" w:rsidP="00000000" w:rsidRDefault="00000000" w:rsidRPr="00000000" w14:paraId="00000008">
            <w:pPr>
              <w:pageBreakBefore w:val="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Reverse Complement</w:t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Reported index &amp; Sample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pageBreakBefore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61, CAAGCAGAAGACGGCATACGAGAT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rtl w:val="0"/>
              </w:rPr>
              <w:t xml:space="preserve">CGGCTTG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GTGACTGGAGTTCAGACGTGTGCTCTTCCGA</w:t>
            </w:r>
          </w:p>
        </w:tc>
        <w:tc>
          <w:tcPr/>
          <w:p w:rsidR="00000000" w:rsidDel="00000000" w:rsidP="00000000" w:rsidRDefault="00000000" w:rsidRPr="00000000" w14:paraId="0000000B">
            <w:pPr>
              <w:pageBreakBefore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CAAGCCG</w:t>
            </w:r>
          </w:p>
        </w:tc>
        <w:tc>
          <w:tcPr/>
          <w:p w:rsidR="00000000" w:rsidDel="00000000" w:rsidP="00000000" w:rsidRDefault="00000000" w:rsidRPr="00000000" w14:paraId="0000000C">
            <w:pPr>
              <w:pageBreakBefore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CAAGCCG-30ng_Low-Volumne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pageBreakBefore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62, CAAGCAGAAGACGGCATACGAGAT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rtl w:val="0"/>
              </w:rPr>
              <w:t xml:space="preserve">TTGACCC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GTGACTGGAGTTCAGACGTGTGCTCTTCCGA</w:t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GGGTCAA</w:t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GGGTCAA-10ng_Low-Volume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pageBreakBefore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63, CAAGCAGAAGACGGCATACGAGAT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rtl w:val="0"/>
              </w:rPr>
              <w:t xml:space="preserve">GCGTTGC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GTGACTGGAGTTCAGACGTGTGCTCTTCCGA</w:t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GCAACGC</w:t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GCAACGC-3ng_Low-Volume</w:t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4) The purified DNA yield was16.5ng/μl in 30μl and sequencing was done on the Illumina HiSeq2500 following the manufacturer's protocols.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