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hd w:fill="ffffff" w:val="clear"/>
        <w:spacing w:after="80" w:lineRule="auto"/>
        <w:rPr>
          <w:rFonts w:ascii="Verdana" w:cs="Verdana" w:eastAsia="Verdana" w:hAnsi="Verdana"/>
          <w:b w:val="1"/>
          <w:i w:val="1"/>
          <w:color w:val="999999"/>
          <w:sz w:val="31"/>
          <w:szCs w:val="31"/>
        </w:rPr>
      </w:pPr>
      <w:bookmarkStart w:colFirst="0" w:colLast="0" w:name="_lfle5joxf0jm" w:id="0"/>
      <w:bookmarkEnd w:id="0"/>
      <w:r w:rsidDel="00000000" w:rsidR="00000000" w:rsidRPr="00000000">
        <w:rPr>
          <w:rFonts w:ascii="Verdana" w:cs="Verdana" w:eastAsia="Verdana" w:hAnsi="Verdana"/>
          <w:b w:val="1"/>
          <w:i w:val="1"/>
          <w:color w:val="999999"/>
          <w:sz w:val="31"/>
          <w:szCs w:val="31"/>
          <w:rtl w:val="0"/>
        </w:rPr>
        <w:t xml:space="preserve">Annotation Tool checking protocols</w:t>
      </w:r>
    </w:p>
    <w:p w:rsidR="00000000" w:rsidDel="00000000" w:rsidP="00000000" w:rsidRDefault="00000000" w:rsidRPr="00000000" w14:paraId="00000002">
      <w:pPr>
        <w:pageBreakBefore w:val="0"/>
        <w:shd w:fill="ffffff" w:val="clear"/>
        <w:rPr>
          <w:rFonts w:ascii="Verdana" w:cs="Verdana" w:eastAsia="Verdana" w:hAnsi="Verdana"/>
          <w:color w:val="666666"/>
        </w:rPr>
      </w:pPr>
      <w:r w:rsidDel="00000000" w:rsidR="00000000" w:rsidRPr="00000000">
        <w:rPr>
          <w:rFonts w:ascii="Verdana" w:cs="Verdana" w:eastAsia="Verdana" w:hAnsi="Verdana"/>
          <w:color w:val="666666"/>
          <w:rtl w:val="0"/>
        </w:rPr>
        <w:t xml:space="preserve">The Annotation Tool is a graphical interface that allows users to add expression strengths, patterns/locations, and notes to their submissions.  These temporary submissions will contain all annotation data but not metadata such as probe details, submitter details etc which are to be submitted using the submission spreadsheet. </w:t>
      </w:r>
    </w:p>
    <w:p w:rsidR="00000000" w:rsidDel="00000000" w:rsidP="00000000" w:rsidRDefault="00000000" w:rsidRPr="00000000" w14:paraId="00000003">
      <w:pPr>
        <w:pageBreakBefore w:val="0"/>
        <w:shd w:fill="ffffff" w:val="clear"/>
        <w:rPr>
          <w:rFonts w:ascii="Verdana" w:cs="Verdana" w:eastAsia="Verdana" w:hAnsi="Verdana"/>
          <w:color w:val="666666"/>
        </w:rPr>
      </w:pPr>
      <w:r w:rsidDel="00000000" w:rsidR="00000000" w:rsidRPr="00000000">
        <w:rPr>
          <w:rtl w:val="0"/>
        </w:rPr>
      </w:r>
    </w:p>
    <w:p w:rsidR="00000000" w:rsidDel="00000000" w:rsidP="00000000" w:rsidRDefault="00000000" w:rsidRPr="00000000" w14:paraId="00000004">
      <w:pPr>
        <w:pageBreakBefore w:val="0"/>
        <w:shd w:fill="ffffff" w:val="clear"/>
        <w:rPr>
          <w:rFonts w:ascii="Verdana" w:cs="Verdana" w:eastAsia="Verdana" w:hAnsi="Verdana"/>
          <w:color w:val="666666"/>
        </w:rPr>
      </w:pPr>
      <w:r w:rsidDel="00000000" w:rsidR="00000000" w:rsidRPr="00000000">
        <w:rPr>
          <w:rFonts w:ascii="Verdana" w:cs="Verdana" w:eastAsia="Verdana" w:hAnsi="Verdana"/>
          <w:color w:val="666666"/>
          <w:rtl w:val="0"/>
        </w:rPr>
        <w:t xml:space="preserve">For submissions sent using the Annotation Tool the EO perform the following checks.</w:t>
      </w:r>
    </w:p>
    <w:p w:rsidR="00000000" w:rsidDel="00000000" w:rsidP="00000000" w:rsidRDefault="00000000" w:rsidRPr="00000000" w14:paraId="00000005">
      <w:pPr>
        <w:pageBreakBefore w:val="0"/>
        <w:shd w:fill="ffffff" w:val="clear"/>
        <w:rPr>
          <w:rFonts w:ascii="Verdana" w:cs="Verdana" w:eastAsia="Verdana" w:hAnsi="Verdana"/>
          <w:color w:val="666666"/>
        </w:rPr>
      </w:pPr>
      <w:r w:rsidDel="00000000" w:rsidR="00000000" w:rsidRPr="00000000">
        <w:rPr>
          <w:rtl w:val="0"/>
        </w:rPr>
      </w:r>
    </w:p>
    <w:p w:rsidR="00000000" w:rsidDel="00000000" w:rsidP="00000000" w:rsidRDefault="00000000" w:rsidRPr="00000000" w14:paraId="00000006">
      <w:pPr>
        <w:pageBreakBefore w:val="0"/>
        <w:numPr>
          <w:ilvl w:val="0"/>
          <w:numId w:val="1"/>
        </w:numPr>
        <w:ind w:left="720" w:hanging="360"/>
        <w:rPr>
          <w:color w:val="999999"/>
          <w:sz w:val="20"/>
          <w:szCs w:val="20"/>
        </w:rPr>
      </w:pPr>
      <w:r w:rsidDel="00000000" w:rsidR="00000000" w:rsidRPr="00000000">
        <w:rPr>
          <w:rFonts w:ascii="Verdana" w:cs="Verdana" w:eastAsia="Verdana" w:hAnsi="Verdana"/>
          <w:color w:val="999999"/>
          <w:sz w:val="20"/>
          <w:szCs w:val="20"/>
          <w:rtl w:val="0"/>
        </w:rPr>
        <w:t xml:space="preserve">Check that the temporary GUDMAP IDs match those in the submitted spreadsheet.</w:t>
      </w:r>
    </w:p>
    <w:p w:rsidR="00000000" w:rsidDel="00000000" w:rsidP="00000000" w:rsidRDefault="00000000" w:rsidRPr="00000000" w14:paraId="00000007">
      <w:pPr>
        <w:pageBreakBefore w:val="0"/>
        <w:numPr>
          <w:ilvl w:val="0"/>
          <w:numId w:val="1"/>
        </w:numPr>
        <w:ind w:left="720" w:hanging="360"/>
        <w:rPr>
          <w:color w:val="999999"/>
          <w:sz w:val="20"/>
          <w:szCs w:val="20"/>
        </w:rPr>
      </w:pPr>
      <w:r w:rsidDel="00000000" w:rsidR="00000000" w:rsidRPr="00000000">
        <w:rPr>
          <w:rFonts w:ascii="Verdana" w:cs="Verdana" w:eastAsia="Verdana" w:hAnsi="Verdana"/>
          <w:color w:val="999999"/>
          <w:sz w:val="20"/>
          <w:szCs w:val="20"/>
          <w:rtl w:val="0"/>
        </w:rPr>
        <w:t xml:space="preserve">Check the sex of the specimen and if necessary revise the online annotation.</w:t>
      </w:r>
    </w:p>
    <w:p w:rsidR="00000000" w:rsidDel="00000000" w:rsidP="00000000" w:rsidRDefault="00000000" w:rsidRPr="00000000" w14:paraId="00000008">
      <w:pPr>
        <w:pageBreakBefore w:val="0"/>
        <w:numPr>
          <w:ilvl w:val="0"/>
          <w:numId w:val="1"/>
        </w:numPr>
        <w:ind w:left="720" w:hanging="360"/>
        <w:rPr>
          <w:color w:val="999999"/>
          <w:sz w:val="20"/>
          <w:szCs w:val="20"/>
        </w:rPr>
      </w:pPr>
      <w:r w:rsidDel="00000000" w:rsidR="00000000" w:rsidRPr="00000000">
        <w:rPr>
          <w:rFonts w:ascii="Verdana" w:cs="Verdana" w:eastAsia="Verdana" w:hAnsi="Verdana"/>
          <w:color w:val="999999"/>
          <w:sz w:val="20"/>
          <w:szCs w:val="20"/>
          <w:rtl w:val="0"/>
        </w:rPr>
        <w:t xml:space="preserve">Check the Theiler stage to ensure that it matches that specified in the submitted spreadsheet.</w:t>
      </w:r>
    </w:p>
    <w:p w:rsidR="00000000" w:rsidDel="00000000" w:rsidP="00000000" w:rsidRDefault="00000000" w:rsidRPr="00000000" w14:paraId="00000009">
      <w:pPr>
        <w:pageBreakBefore w:val="0"/>
        <w:shd w:fill="ffffff" w:val="clear"/>
        <w:rPr>
          <w:rFonts w:ascii="Verdana" w:cs="Verdana" w:eastAsia="Verdana" w:hAnsi="Verdana"/>
          <w:color w:val="666666"/>
        </w:rPr>
      </w:pPr>
      <w:r w:rsidDel="00000000" w:rsidR="00000000" w:rsidRPr="00000000">
        <w:rPr>
          <w:rtl w:val="0"/>
        </w:rPr>
      </w:r>
    </w:p>
    <w:p w:rsidR="00000000" w:rsidDel="00000000" w:rsidP="00000000" w:rsidRDefault="00000000" w:rsidRPr="00000000" w14:paraId="0000000A">
      <w:pPr>
        <w:pageBreakBefore w:val="0"/>
        <w:shd w:fill="ffffff" w:val="clear"/>
        <w:rPr>
          <w:rFonts w:ascii="Verdana" w:cs="Verdana" w:eastAsia="Verdana" w:hAnsi="Verdana"/>
          <w:color w:val="666666"/>
        </w:rPr>
      </w:pPr>
      <w:r w:rsidDel="00000000" w:rsidR="00000000" w:rsidRPr="00000000">
        <w:rPr>
          <w:rFonts w:ascii="Verdana" w:cs="Verdana" w:eastAsia="Verdana" w:hAnsi="Verdana"/>
          <w:color w:val="666666"/>
          <w:rtl w:val="0"/>
        </w:rPr>
        <w:t xml:space="preserve">In addition the EO checks the accompanying spreadsheet.</w:t>
      </w:r>
    </w:p>
    <w:p w:rsidR="00000000" w:rsidDel="00000000" w:rsidP="00000000" w:rsidRDefault="00000000" w:rsidRPr="00000000" w14:paraId="0000000B">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