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after="40" w:before="240" w:lineRule="auto"/>
        <w:rPr/>
      </w:pPr>
      <w:bookmarkStart w:colFirst="0" w:colLast="0" w:name="_lsh2pj1pe32i" w:id="0"/>
      <w:bookmarkEnd w:id="0"/>
      <w:r w:rsidDel="00000000" w:rsidR="00000000" w:rsidRPr="00000000">
        <w:rPr>
          <w:rtl w:val="0"/>
        </w:rPr>
        <w:t xml:space="preserve">Associated publications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5"/>
        <w:tblGridChange w:id="0">
          <w:tblGrid>
            <w:gridCol w:w="927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faec4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Rumballe BA, Chiu HS, Georgas KM and Little MH.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666666"/>
                <w:sz w:val="24"/>
                <w:szCs w:val="24"/>
                <w:rtl w:val="0"/>
              </w:rPr>
              <w:t xml:space="preserve">Use of in situ hybridization to examine gene expression in the embryonic, neonatal and adult urogenital system.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Methods in Molecular Biology: Kidney Development (commissioned book chapter).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faec4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Rumballe B, Georgas K, Little MH.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66cc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"http://www.cshprotocols.org/cgi/content/abstract/2008/8/pdb.prot5030" </w:instrText>
              <w:fldChar w:fldCharType="separate"/>
            </w:r>
            <w:r w:rsidDel="00000000" w:rsidR="00000000" w:rsidRPr="00000000">
              <w:rPr>
                <w:b w:val="1"/>
                <w:color w:val="0066cc"/>
                <w:sz w:val="24"/>
                <w:szCs w:val="24"/>
                <w:u w:val="single"/>
                <w:rtl w:val="0"/>
              </w:rPr>
              <w:t xml:space="preserve">High-throughput paraffin section in situ hybridisation and dual immunohistochemistry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CSH Protocols, 2008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faec4" w:space="0" w:sz="12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Georgas K, Rumballe B, Wilkinson L, Chiu HS, Lesieur E, Gilbert T, Little MH.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66cc"/>
                <w:sz w:val="24"/>
                <w:szCs w:val="24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"http://www.ncbi.nlm.nih.gov/pubmed/18618131" </w:instrText>
              <w:fldChar w:fldCharType="separate"/>
            </w:r>
            <w:r w:rsidDel="00000000" w:rsidR="00000000" w:rsidRPr="00000000">
              <w:rPr>
                <w:b w:val="1"/>
                <w:color w:val="0066cc"/>
                <w:sz w:val="24"/>
                <w:szCs w:val="24"/>
                <w:u w:val="single"/>
                <w:rtl w:val="0"/>
              </w:rPr>
              <w:t xml:space="preserve">Use of dual section mRNA in situ hybridisation/immunohistochemistry to clarify gene expression patterns during the early stages of nephron development in the embryo and in the mature nephron of the adult mouse kidney.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Histochem Cell Biol. 2008 Nov;130(5):927-42. Epub 2008 Jul 11.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