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Arial" w:cs="Arial" w:eastAsia="Arial" w:hAnsi="Arial"/>
          <w:b w:val="0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vertAlign w:val="baseline"/>
          <w:rtl w:val="0"/>
        </w:rPr>
        <w:t xml:space="preserve">Sex genotyping of mice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Arial" w:cs="Arial" w:eastAsia="Arial" w:hAnsi="Arial"/>
          <w:b w:val="0"/>
          <w:color w:val="7f7f7f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7f7f7f"/>
          <w:sz w:val="32"/>
          <w:szCs w:val="32"/>
          <w:vertAlign w:val="baseline"/>
          <w:rtl w:val="0"/>
        </w:rPr>
        <w:t xml:space="preserve">Cohn Group, GUDMAP Consortium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The sex genotyping method used by the Cohn lab is based on the highly homologous SMC genes found on the X (X chromosomal SmcX = </w:t>
      </w:r>
      <w:hyperlink r:id="rId6">
        <w:r w:rsidDel="00000000" w:rsidR="00000000" w:rsidRPr="00000000">
          <w:rPr>
            <w:rFonts w:ascii="Arial" w:cs="Arial" w:eastAsia="Arial" w:hAnsi="Arial"/>
            <w:color w:val="0000ff"/>
            <w:u w:val="single"/>
            <w:vertAlign w:val="baseline"/>
            <w:rtl w:val="0"/>
          </w:rPr>
          <w:t xml:space="preserve">Kdm5c</w:t>
        </w:r>
      </w:hyperlink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) and Y (Y chromosomal SmcY = 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u w:val="single"/>
            <w:vertAlign w:val="baseline"/>
            <w:rtl w:val="0"/>
          </w:rPr>
          <w:t xml:space="preserve">Kdm5d</w:t>
        </w:r>
      </w:hyperlink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) chromosomes.  </w:t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Homologous pair SmcX/SmcY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SMCX-1 5'-CCGCTGCCAAATTCTTTGG-3'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SMC4-1 5'-TGAAGCTTTTGGCTTTGAG-3'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after="280" w:before="280" w:lineRule="auto"/>
        <w:ind w:left="720" w:hanging="360"/>
        <w:rPr/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PCR product: females a single band (350 bp), males 2 bands (350 &amp; 300 bp) because of an intron difference between the X and Y genes (Agulnik 1997, </w:t>
      </w:r>
      <w:hyperlink r:id="rId8">
        <w:r w:rsidDel="00000000" w:rsidR="00000000" w:rsidRPr="00000000">
          <w:rPr>
            <w:rFonts w:ascii="Arial" w:cs="Arial" w:eastAsia="Arial" w:hAnsi="Arial"/>
            <w:color w:val="3366ff"/>
            <w:u w:val="single"/>
            <w:vertAlign w:val="baseline"/>
            <w:rtl w:val="0"/>
          </w:rPr>
          <w:t xml:space="preserve">PMID 9060413</w:t>
        </w:r>
      </w:hyperlink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) adapted from Case Western Transgenic Facility.</w:t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DNA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1.  Add tissue, forelimb of embryo,</w:t>
      </w:r>
      <w:r w:rsidDel="00000000" w:rsidR="00000000" w:rsidRPr="00000000">
        <w:rPr>
          <w:rFonts w:ascii="Arial" w:cs="Arial" w:eastAsia="Arial" w:hAnsi="Arial"/>
          <w:b w:val="1"/>
          <w:color w:val="ff0000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to 300µl of 25mM NaOH.</w:t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  <w:b w:val="0"/>
          <w:color w:val="ff000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2.  Heat at 95ºC for 2 hours.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Arial" w:cs="Arial" w:eastAsia="Arial" w:hAnsi="Arial"/>
          <w:b w:val="0"/>
          <w:color w:val="0000ff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3.  Add 300µl 40mM Tris HCl.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4.  Store at 4ºC till genotyping.</w:t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PCR  mix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1.  Set up the PCR mix as follows:</w:t>
      </w:r>
    </w:p>
    <w:p w:rsidR="00000000" w:rsidDel="00000000" w:rsidP="00000000" w:rsidRDefault="00000000" w:rsidRPr="00000000" w14:paraId="00000012">
      <w:pPr>
        <w:pageBreakBefore w:val="0"/>
        <w:ind w:firstLine="72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16.25µl    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pageBreakBefore w:val="0"/>
        <w:ind w:firstLine="72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5µl</w:t>
        <w:tab/>
        <w:t xml:space="preserve">     5X Green GoTaq Reaction Buffer (Promega cat #M791B)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1µl</w:t>
        <w:tab/>
        <w:t xml:space="preserve">     Primer X (CCGCTGCCAAATTCTTTGG, Integrated DNA            Technologies)</w:t>
      </w:r>
    </w:p>
    <w:p w:rsidR="00000000" w:rsidDel="00000000" w:rsidP="00000000" w:rsidRDefault="00000000" w:rsidRPr="00000000" w14:paraId="00000015">
      <w:pPr>
        <w:pageBreakBefore w:val="0"/>
        <w:ind w:left="72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1µl</w:t>
        <w:tab/>
        <w:t xml:space="preserve">     Primer Y (</w:t>
      </w: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TGAAGCTTTTGGCTTTGAG,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Integrated DNA Technologies)</w:t>
      </w:r>
    </w:p>
    <w:p w:rsidR="00000000" w:rsidDel="00000000" w:rsidP="00000000" w:rsidRDefault="00000000" w:rsidRPr="00000000" w14:paraId="00000016">
      <w:pPr>
        <w:pageBreakBefore w:val="0"/>
        <w:ind w:firstLine="72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0.5µl</w:t>
        <w:tab/>
        <w:t xml:space="preserve">     </w:t>
      </w: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dNTP mix ~ 10mM (Thermo Scientific cat #R0192)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72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0.25µl</w:t>
        <w:tab/>
        <w:t xml:space="preserve">     </w:t>
      </w:r>
      <w:r w:rsidDel="00000000" w:rsidR="00000000" w:rsidRPr="00000000">
        <w:rPr>
          <w:rFonts w:ascii="Arial" w:cs="Arial" w:eastAsia="Arial" w:hAnsi="Arial"/>
          <w:i w:val="1"/>
          <w:color w:val="000000"/>
          <w:vertAlign w:val="baseline"/>
          <w:rtl w:val="0"/>
        </w:rPr>
        <w:t xml:space="preserve">Taq</w:t>
      </w: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 DNA Polymerase with ThermoPol Buffer (New England BioLabs cat #M0267L)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firstLine="72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1µl</w:t>
        <w:tab/>
        <w:t xml:space="preserve">     DNA</w:t>
      </w:r>
    </w:p>
    <w:p w:rsidR="00000000" w:rsidDel="00000000" w:rsidP="00000000" w:rsidRDefault="00000000" w:rsidRPr="00000000" w14:paraId="00000019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PCR Cycling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94ºC  3:00 minutes   1 cycle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94ºC     30 seconds   35 cycles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54ºC     30 seconds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72ºC     30 seconds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72ºC  7:00 minutes</w:t>
        <w:tab/>
        <w:t xml:space="preserve">1 cycle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10ºC  hold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Analysis of the PCR products on an agarose gel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1.  5µl of PCR product is run on a 2% agarose gel.</w:t>
      </w:r>
    </w:p>
    <w:p w:rsidR="00000000" w:rsidDel="00000000" w:rsidP="00000000" w:rsidRDefault="00000000" w:rsidRPr="00000000" w14:paraId="00000027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2.  Female mice are identified by a single 350bp band and males are identified by 2 smaller bands of 300bp &amp; 350bp.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292100</wp:posOffset>
                </wp:positionV>
                <wp:extent cx="2616200" cy="2794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58868" y="3078008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292100</wp:posOffset>
                </wp:positionV>
                <wp:extent cx="2616200" cy="2794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6200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711200</wp:posOffset>
                </wp:positionV>
                <wp:extent cx="1270000" cy="292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58868" y="3078008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711200</wp:posOffset>
                </wp:positionV>
                <wp:extent cx="1270000" cy="29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29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1905000</wp:posOffset>
                </wp:positionV>
                <wp:extent cx="622300" cy="12446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58868" y="3078008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1905000</wp:posOffset>
                </wp:positionV>
                <wp:extent cx="622300" cy="12446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300" cy="1244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1118870</wp:posOffset>
            </wp:positionH>
            <wp:positionV relativeFrom="paragraph">
              <wp:posOffset>956310</wp:posOffset>
            </wp:positionV>
            <wp:extent cx="2095500" cy="3133725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133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1" w:type="default"/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72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al" w:cs="Arial" w:eastAsia="Arial" w:hAnsi="Arial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al" w:cs="Arial" w:eastAsia="Arial" w:hAnsi="Arial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sz w:val="20"/>
        <w:szCs w:val="20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jp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www.ncbi.nlm.nih.gov/gene/20591" TargetMode="External"/><Relationship Id="rId7" Type="http://schemas.openxmlformats.org/officeDocument/2006/relationships/hyperlink" Target="http://www.ncbi.nlm.nih.gov/gene/20592" TargetMode="External"/><Relationship Id="rId8" Type="http://schemas.openxmlformats.org/officeDocument/2006/relationships/hyperlink" Target="http://www.pubget.com/paper/90604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