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bookmarkStart w:colFirst="0" w:colLast="0" w:name="_caray3tauk16" w:id="0"/>
      <w:bookmarkEnd w:id="0"/>
      <w:r w:rsidDel="00000000" w:rsidR="00000000" w:rsidRPr="00000000">
        <w:rPr>
          <w:rtl w:val="0"/>
        </w:rPr>
        <w:t xml:space="preserve">Digoxigenin-11-UTP-Labeled Riboprobe Synthesis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Design of Polymerase Chain Reaction (PCR) Primers</w:t>
      </w:r>
    </w:p>
    <w:p w:rsidR="00000000" w:rsidDel="00000000" w:rsidP="00000000" w:rsidRDefault="00000000" w:rsidRPr="00000000" w14:paraId="00000004">
      <w:pPr>
        <w:pageBreakBefore w:val="0"/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Extract cDNA sequence from Entrez Gene (</w:t>
      </w:r>
      <w:hyperlink r:id="rId6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http://www.ncbi.nlm.nih.gov/sites/entrez</w:t>
        </w:r>
      </w:hyperlink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6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Use Primer3 program (</w:t>
      </w:r>
      <w:hyperlink r:id="rId7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http://frodo.wi.mit.edu/primer3/</w:t>
        </w:r>
      </w:hyperlink>
      <w:r w:rsidDel="00000000" w:rsidR="00000000" w:rsidRPr="00000000">
        <w:rPr>
          <w:sz w:val="24"/>
          <w:szCs w:val="24"/>
          <w:rtl w:val="0"/>
        </w:rPr>
        <w:t xml:space="preserve">) to design PCR primers against the 3’-region of the cDNA sequence. The following parameters are used to assist in the design of high-quality, specific PCR primers:</w:t>
      </w:r>
    </w:p>
    <w:p w:rsidR="00000000" w:rsidDel="00000000" w:rsidP="00000000" w:rsidRDefault="00000000" w:rsidRPr="00000000" w14:paraId="00000008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A.</w:t>
      </w:r>
      <w:r w:rsidDel="00000000" w:rsidR="00000000" w:rsidRPr="00000000">
        <w:rPr>
          <w:sz w:val="24"/>
          <w:szCs w:val="24"/>
          <w:rtl w:val="0"/>
        </w:rPr>
        <w:t xml:space="preserve"> Mispriming Library (repeat library): RODENT_AND_SIMPLE.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B.</w:t>
      </w:r>
      <w:r w:rsidDel="00000000" w:rsidR="00000000" w:rsidRPr="00000000">
        <w:rPr>
          <w:sz w:val="24"/>
          <w:szCs w:val="24"/>
          <w:rtl w:val="0"/>
        </w:rPr>
        <w:t xml:space="preserve"> PCR Product Size Range: 500-800 base pairs (bp).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C.</w:t>
      </w:r>
      <w:r w:rsidDel="00000000" w:rsidR="00000000" w:rsidRPr="00000000">
        <w:rPr>
          <w:sz w:val="24"/>
          <w:szCs w:val="24"/>
          <w:rtl w:val="0"/>
        </w:rPr>
        <w:t xml:space="preserve"> Maximum allowable weighted similarity to ectopic sites in the cDNA sequence (Template Mispriming): 10.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D.</w:t>
      </w:r>
      <w:r w:rsidDel="00000000" w:rsidR="00000000" w:rsidRPr="00000000">
        <w:rPr>
          <w:sz w:val="24"/>
          <w:szCs w:val="24"/>
          <w:rtl w:val="0"/>
        </w:rPr>
        <w:t xml:space="preserve"> Primer Size Minimum: 18bp, Optimum: 20bp, Maximum: 27bp.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E.</w:t>
      </w:r>
      <w:r w:rsidDel="00000000" w:rsidR="00000000" w:rsidRPr="00000000">
        <w:rPr>
          <w:sz w:val="24"/>
          <w:szCs w:val="24"/>
          <w:rtl w:val="0"/>
        </w:rPr>
        <w:t xml:space="preserve"> Primer melting temperature (T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m</w:t>
      </w:r>
      <w:r w:rsidDel="00000000" w:rsidR="00000000" w:rsidRPr="00000000">
        <w:rPr>
          <w:sz w:val="24"/>
          <w:szCs w:val="24"/>
          <w:rtl w:val="0"/>
        </w:rPr>
        <w:t xml:space="preserve">) Minimum: 57°C, Optimum: 60°C, Maximum: 63°C.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F.</w:t>
      </w:r>
      <w:r w:rsidDel="00000000" w:rsidR="00000000" w:rsidRPr="00000000">
        <w:rPr>
          <w:sz w:val="24"/>
          <w:szCs w:val="24"/>
          <w:rtl w:val="0"/>
        </w:rPr>
        <w:t xml:space="preserve"> Maximum acceptable T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m</w:t>
      </w:r>
      <w:r w:rsidDel="00000000" w:rsidR="00000000" w:rsidRPr="00000000">
        <w:rPr>
          <w:sz w:val="24"/>
          <w:szCs w:val="24"/>
          <w:rtl w:val="0"/>
        </w:rPr>
        <w:t xml:space="preserve"> difference between left and right primers: 100°C.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G.</w:t>
      </w:r>
      <w:r w:rsidDel="00000000" w:rsidR="00000000" w:rsidRPr="00000000">
        <w:rPr>
          <w:sz w:val="24"/>
          <w:szCs w:val="24"/>
          <w:rtl w:val="0"/>
        </w:rPr>
        <w:t xml:space="preserve"> Primer GC content: Minimum: 20%, Optimum: 50%, Maximum: 80%.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H.</w:t>
      </w:r>
      <w:r w:rsidDel="00000000" w:rsidR="00000000" w:rsidRPr="00000000">
        <w:rPr>
          <w:sz w:val="24"/>
          <w:szCs w:val="24"/>
          <w:rtl w:val="0"/>
        </w:rPr>
        <w:t xml:space="preserve"> Maximum allowable 3'-anchored global alignment score for self-complimentarity: 1.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I.</w:t>
      </w:r>
      <w:r w:rsidDel="00000000" w:rsidR="00000000" w:rsidRPr="00000000">
        <w:rPr>
          <w:sz w:val="24"/>
          <w:szCs w:val="24"/>
          <w:rtl w:val="0"/>
        </w:rPr>
        <w:t xml:space="preserve"> Maximum allowable length of homonucleotide repeat (Poly-X): 3.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J.</w:t>
      </w:r>
      <w:r w:rsidDel="00000000" w:rsidR="00000000" w:rsidRPr="00000000">
        <w:rPr>
          <w:sz w:val="24"/>
          <w:szCs w:val="24"/>
          <w:rtl w:val="0"/>
        </w:rPr>
        <w:t xml:space="preserve"> Number of guanines or cytosines required at 3’ end of left and right primer (GC Clamp): 1.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K.</w:t>
      </w:r>
      <w:r w:rsidDel="00000000" w:rsidR="00000000" w:rsidRPr="00000000">
        <w:rPr>
          <w:sz w:val="24"/>
          <w:szCs w:val="24"/>
          <w:rtl w:val="0"/>
        </w:rPr>
        <w:t xml:space="preserve"> The following sequence is added to the 5’-end of the right primer: CGATG</w:t>
      </w: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TTAATACGACTCACTATAGGG</w:t>
      </w:r>
      <w:r w:rsidDel="00000000" w:rsidR="00000000" w:rsidRPr="00000000">
        <w:rPr>
          <w:sz w:val="24"/>
          <w:szCs w:val="24"/>
          <w:rtl w:val="0"/>
        </w:rPr>
        <w:t xml:space="preserve">. This sequence includes a 5bp leader sequence followed by the T7 RNA polymerase recognition sequence (shown in bold-faced, underlined text).</w:t>
      </w:r>
    </w:p>
    <w:p w:rsidR="00000000" w:rsidDel="00000000" w:rsidP="00000000" w:rsidRDefault="00000000" w:rsidRPr="00000000" w14:paraId="00000014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Specificity of the PCR product for the cDNA sequence is assessed with the MegaBLAST Program (</w:t>
      </w:r>
      <w:hyperlink r:id="rId8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http://www.ncbi.nlm.nih.gov/genome/seq/BlastGen/BlastGen.cgi?taxid=10090</w:t>
        </w:r>
      </w:hyperlink>
      <w:r w:rsidDel="00000000" w:rsidR="00000000" w:rsidRPr="00000000">
        <w:rPr>
          <w:sz w:val="24"/>
          <w:szCs w:val="24"/>
          <w:rtl w:val="0"/>
        </w:rPr>
        <w:t xml:space="preserve">).  A PCR sequence is considered specific for the cDNA when, using an EXPECT threshold of 0.01, it does not align with other members of the RefSeq RNA database.</w:t>
      </w:r>
    </w:p>
    <w:p w:rsidR="00000000" w:rsidDel="00000000" w:rsidP="00000000" w:rsidRDefault="00000000" w:rsidRPr="00000000" w14:paraId="00000016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Primers are synthesized by a commercial vendor and are resuspended in nuclease free water at a concentration of 100µM.</w:t>
      </w:r>
    </w:p>
    <w:p w:rsidR="00000000" w:rsidDel="00000000" w:rsidP="00000000" w:rsidRDefault="00000000" w:rsidRPr="00000000" w14:paraId="00000018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Synthesis of Digoxigenin-11-UTP-Labeled Riboprobes</w:t>
      </w:r>
    </w:p>
    <w:p w:rsidR="00000000" w:rsidDel="00000000" w:rsidP="00000000" w:rsidRDefault="00000000" w:rsidRPr="00000000" w14:paraId="0000001A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PCR.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A.</w:t>
      </w:r>
      <w:r w:rsidDel="00000000" w:rsidR="00000000" w:rsidRPr="00000000">
        <w:rPr>
          <w:sz w:val="24"/>
          <w:szCs w:val="24"/>
          <w:rtl w:val="0"/>
        </w:rPr>
        <w:t xml:space="preserve"> Prepare cDNA.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a.</w:t>
      </w:r>
      <w:r w:rsidDel="00000000" w:rsidR="00000000" w:rsidRPr="00000000">
        <w:rPr>
          <w:sz w:val="24"/>
          <w:szCs w:val="24"/>
          <w:rtl w:val="0"/>
        </w:rPr>
        <w:t xml:space="preserve"> The following C57BL/6J mouse tissues are used as cDNA source material: embryonic day (E)16.5 male urogenital sinus, E16.5 female urogenital sinus, and P60 male prostate (all lobes). Add Molecular Grinding Resin (G-Biosciences #786-138PR) to the frozen tissues, mechanically homogenize tissue with a pestle, and further disrupt tissue by passing homogenate through QIAshredder Columns (Qiagen # 79654). Isolate total mRNA with the RNeasy Mini Kit (Qiagen # 74104) and quantify mRNA by spectrophotometry.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1"/>
        </w:numPr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b.</w:t>
      </w:r>
      <w:r w:rsidDel="00000000" w:rsidR="00000000" w:rsidRPr="00000000">
        <w:rPr>
          <w:sz w:val="24"/>
          <w:szCs w:val="24"/>
          <w:rtl w:val="0"/>
        </w:rPr>
        <w:t xml:space="preserve"> Synthesize cDNA with oligo d(T) primers, according to the instructions of the SuperScript® III First-Strand Synthesis System (Invitrogen # 18080-051). Reverse transcription reactions contained equal amounts of E16.5 Male C57BL/6J total mRNA, E16.5 female C57BL/6J total mRNA, and P60 Male C57BL/6J prostate total mRNA.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B.</w:t>
      </w:r>
      <w:r w:rsidDel="00000000" w:rsidR="00000000" w:rsidRPr="00000000">
        <w:rPr>
          <w:sz w:val="24"/>
          <w:szCs w:val="24"/>
          <w:rtl w:val="0"/>
        </w:rPr>
        <w:t xml:space="preserve"> Amplify PCR Product.</w:t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1"/>
        </w:numPr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a.</w:t>
      </w:r>
      <w:r w:rsidDel="00000000" w:rsidR="00000000" w:rsidRPr="00000000">
        <w:rPr>
          <w:sz w:val="24"/>
          <w:szCs w:val="24"/>
          <w:rtl w:val="0"/>
        </w:rPr>
        <w:t xml:space="preserve"> PCR reaction components are optimized for each cDNA sequence. A typical 50µl reaction contains: 1X buffer, 2mM MgCl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, 0.2 mM dNTPs (Roche Applied Science 11969064001), 1X Q solution, approximately 1µg cDNA, 2.5U Taq DNA polymerase (Qiagen #201203), 0.25µM PCR primers and nuclease-free H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O.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1"/>
        </w:numPr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b.</w:t>
      </w:r>
      <w:r w:rsidDel="00000000" w:rsidR="00000000" w:rsidRPr="00000000">
        <w:rPr>
          <w:sz w:val="24"/>
          <w:szCs w:val="24"/>
          <w:rtl w:val="0"/>
        </w:rPr>
        <w:t xml:space="preserve"> Thermocycling conditions on the Perkin Elmer GeneAmp 9600 are optimized for each cDNA sequence.  A typical thermocycling protocol is: initial denaturation at 94°C for 2 min, followed by 40 cycles of 94°C 30s, 57°C 30s, 72°C 1min and a final extension at 72°C 10 min.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C.</w:t>
      </w:r>
      <w:r w:rsidDel="00000000" w:rsidR="00000000" w:rsidRPr="00000000">
        <w:rPr>
          <w:sz w:val="24"/>
          <w:szCs w:val="24"/>
          <w:rtl w:val="0"/>
        </w:rPr>
        <w:t xml:space="preserve"> Gel Purify PCR Product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a.</w:t>
      </w:r>
      <w:r w:rsidDel="00000000" w:rsidR="00000000" w:rsidRPr="00000000">
        <w:rPr>
          <w:sz w:val="24"/>
          <w:szCs w:val="24"/>
          <w:rtl w:val="0"/>
        </w:rPr>
        <w:t xml:space="preserve"> Separate products in a 1% agarose gel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1"/>
        </w:numPr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b.</w:t>
      </w:r>
      <w:r w:rsidDel="00000000" w:rsidR="00000000" w:rsidRPr="00000000">
        <w:rPr>
          <w:sz w:val="24"/>
          <w:szCs w:val="24"/>
          <w:rtl w:val="0"/>
        </w:rPr>
        <w:t xml:space="preserve"> Visualize gel with an ultraviolet transilluminator and excise DNA bands with a clean razor blade.</w:t>
      </w:r>
    </w:p>
    <w:p w:rsidR="00000000" w:rsidDel="00000000" w:rsidP="00000000" w:rsidRDefault="00000000" w:rsidRPr="00000000" w14:paraId="00000025">
      <w:pPr>
        <w:pageBreakBefore w:val="0"/>
        <w:numPr>
          <w:ilvl w:val="1"/>
          <w:numId w:val="1"/>
        </w:numPr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c.</w:t>
      </w:r>
      <w:r w:rsidDel="00000000" w:rsidR="00000000" w:rsidRPr="00000000">
        <w:rPr>
          <w:sz w:val="24"/>
          <w:szCs w:val="24"/>
          <w:rtl w:val="0"/>
        </w:rPr>
        <w:t xml:space="preserve"> Purify excised DNA bands from gel slice with a gel extraction kit (Qiagen # 28704).</w:t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1"/>
        </w:numPr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d.</w:t>
      </w:r>
      <w:r w:rsidDel="00000000" w:rsidR="00000000" w:rsidRPr="00000000">
        <w:rPr>
          <w:sz w:val="24"/>
          <w:szCs w:val="24"/>
          <w:rtl w:val="0"/>
        </w:rPr>
        <w:t xml:space="preserve"> Elute DNA in 40µl nuclease free H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O.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e.</w:t>
      </w:r>
      <w:r w:rsidDel="00000000" w:rsidR="00000000" w:rsidRPr="00000000">
        <w:rPr>
          <w:sz w:val="24"/>
          <w:szCs w:val="24"/>
          <w:rtl w:val="0"/>
        </w:rPr>
        <w:t xml:space="preserve"> Quantify product by spectrophotometry. Expected yield is 1.2 - 3.6µg. </w:t>
      </w:r>
    </w:p>
    <w:p w:rsidR="00000000" w:rsidDel="00000000" w:rsidP="00000000" w:rsidRDefault="00000000" w:rsidRPr="00000000" w14:paraId="00000028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Transcribe PCR product into labeled riboprobe.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A.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In vitro </w:t>
      </w:r>
      <w:r w:rsidDel="00000000" w:rsidR="00000000" w:rsidRPr="00000000">
        <w:rPr>
          <w:sz w:val="24"/>
          <w:szCs w:val="24"/>
          <w:rtl w:val="0"/>
        </w:rPr>
        <w:t xml:space="preserve">transcription reactions (40 µl) contain: 400ng clean PCR product, 1X nucleotide labeling mix containing digoxigenin 11-UTP (Roche Applied Science # 1277073910) 1X transcription buffer , 5U RNase inhibitor (Roche Applied Science #03335399001), 80U T7 RNA polymerase (Roche Cat # 10881767001), and nuclease-free H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O. Incubate 3-4 hr at 37°C (agitate samples every 30 min).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B.</w:t>
      </w:r>
      <w:r w:rsidDel="00000000" w:rsidR="00000000" w:rsidRPr="00000000">
        <w:rPr>
          <w:sz w:val="24"/>
          <w:szCs w:val="24"/>
          <w:rtl w:val="0"/>
        </w:rPr>
        <w:t xml:space="preserve"> Purify riboprobes with the Qiagen RNEASY Mini kit (Qiagen # 74104), according to the directions for RNA cleanup with DNase digestion.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C.</w:t>
      </w:r>
      <w:r w:rsidDel="00000000" w:rsidR="00000000" w:rsidRPr="00000000">
        <w:rPr>
          <w:sz w:val="24"/>
          <w:szCs w:val="24"/>
          <w:rtl w:val="0"/>
        </w:rPr>
        <w:t xml:space="preserve"> Elute riboprobe with 40µl nuclease-free H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O.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D.</w:t>
      </w:r>
      <w:r w:rsidDel="00000000" w:rsidR="00000000" w:rsidRPr="00000000">
        <w:rPr>
          <w:sz w:val="24"/>
          <w:szCs w:val="24"/>
          <w:rtl w:val="0"/>
        </w:rPr>
        <w:t xml:space="preserve"> Quantitate by spectrophotometry. Expected yield is 4-20µg.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E.</w:t>
      </w:r>
      <w:r w:rsidDel="00000000" w:rsidR="00000000" w:rsidRPr="00000000">
        <w:rPr>
          <w:sz w:val="24"/>
          <w:szCs w:val="24"/>
          <w:rtl w:val="0"/>
        </w:rPr>
        <w:t xml:space="preserve"> Verify probe quality by separating probe by electrophoresis on a 1.5% non-denaturing agarose gel. High quality probes migrate as distinct bands with minimal smearing.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Verdana" w:cs="Verdana" w:eastAsia="Verdana" w:hAnsi="Verdana"/>
        <w:color w:val="999999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ncbi.nlm.nih.gov/sites/entrez" TargetMode="External"/><Relationship Id="rId7" Type="http://schemas.openxmlformats.org/officeDocument/2006/relationships/hyperlink" Target="http://frodo.wi.mit.edu/primer3/" TargetMode="External"/><Relationship Id="rId8" Type="http://schemas.openxmlformats.org/officeDocument/2006/relationships/hyperlink" Target="http://www.ncbi.nlm.nih.gov/genome/seq/BlastGen/BlastGen.cgi?taxid=100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