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2jotp3j4br5a" w:id="0"/>
      <w:bookmarkEnd w:id="0"/>
      <w:r w:rsidDel="00000000" w:rsidR="00000000" w:rsidRPr="00000000">
        <w:rPr>
          <w:rtl w:val="0"/>
        </w:rPr>
        <w:t xml:space="preserve">Fluorescent Immunocytochemistry Protocol on Frozen sections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Prepare cryostat section at 5-7 mm (for In situ, may 10 mm)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 with 4% paraformaldehyde (diluted 16% paraformaldehyde at 1:4 in PBS), 10 min, room temperature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PBS/Triton, 5 min X 3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Block with Blocking buffer (500 ml normal goat serum to 10 ml PBS + 10 ml Triton, serum match to species the second antibody from), 1 hr, room temperature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PBS, 5 min X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Primary antibody diluted in 3% BSA (300mg in 10 ml PBS), overnight, at 4 °C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PBS, 5 min X 3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with biotinylated secondary antibody, 1:500 dilution (pay attention to different species, against primary), 1 hr, room temperature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PBS, 5 min X 3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 Mount coverslips with VectaMount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 Visualization using microscope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Analysis using Confocal Software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