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uc994bodxr33" w:id="0"/>
      <w:bookmarkEnd w:id="0"/>
      <w:r w:rsidDel="00000000" w:rsidR="00000000" w:rsidRPr="00000000">
        <w:rPr>
          <w:rtl w:val="0"/>
        </w:rPr>
        <w:t xml:space="preserve">Laser Capture Microdissection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Use the Veritas machine, (or palm zeiss when available), with membrane slides, pretty much as per standard protocols, but with following considerations.</w:t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Too strong a cutting laser might degrade RNA according to Chris Erwin. So cut back on power as much as possible. I’ve had good luck with the setting at 3.0.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Be careful to avoid cap crap. But if there is a little then can use ablation to remove. But be careful to re-set laser after ablation, so don’t ruin sample.</w:t>
        <w:br w:type="textWrapping"/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Label caps clearly and take photos before, after and of caps to record material captured.</w:t>
        <w:br w:type="textWrapping"/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Place caps in 0.5 ul tubes after capture is complete.</w:t>
        <w:br w:type="textWrapping"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Store on dry ice, then at –80ºC.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