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3loa8cvbdmu9" w:id="0"/>
      <w:bookmarkEnd w:id="0"/>
      <w:r w:rsidDel="00000000" w:rsidR="00000000" w:rsidRPr="00000000">
        <w:rPr>
          <w:rtl w:val="0"/>
        </w:rPr>
        <w:t xml:space="preserve">Microarrays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Affymetrix GeneChip Expression Analysis manual (part # 701021 rev. 4) for cRNA fragmentation, target hybridization, and array washing, staining and scanning.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