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4fpgv3w5hy0q" w:id="0"/>
      <w:bookmarkEnd w:id="0"/>
      <w:r w:rsidDel="00000000" w:rsidR="00000000" w:rsidRPr="00000000">
        <w:rPr>
          <w:rtl w:val="0"/>
        </w:rPr>
        <w:t xml:space="preserve">Normalisation of cDNA microarray CHP files</w:t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CHP files are normalised by averaging values for each cDNA probe across entire datasets. Binary logarithms (log2) of these normalised values are published as heatmaps on the GUDMAP website.</w:t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29100"/>
            <wp:effectExtent b="0" l="0" r="0" t="0"/>
            <wp:docPr descr="heatmap" id="1" name="image1.png"/>
            <a:graphic>
              <a:graphicData uri="http://schemas.openxmlformats.org/drawingml/2006/picture">
                <pic:pic>
                  <pic:nvPicPr>
                    <pic:cNvPr descr="heatma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hd w:fill="ffffff" w:val="clear"/>
        <w:rPr>
          <w:sz w:val="24"/>
          <w:szCs w:val="24"/>
        </w:rPr>
      </w:pPr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Heatmaps</w:t>
        </w:r>
      </w:hyperlink>
      <w:r w:rsidDel="00000000" w:rsidR="00000000" w:rsidRPr="00000000">
        <w:rPr>
          <w:sz w:val="24"/>
          <w:szCs w:val="24"/>
          <w:rtl w:val="0"/>
        </w:rPr>
        <w:t xml:space="preserve"> are currently available for the following datasets.</w:t>
      </w:r>
    </w:p>
    <w:p w:rsidR="00000000" w:rsidDel="00000000" w:rsidP="00000000" w:rsidRDefault="00000000" w:rsidRPr="00000000" w14:paraId="00000007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Developing Kidney (MOE_430)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Lower Urinary Tract (MOE_430)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Reproductive Gonadal (MOE_430)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Developing Kidney (ST1)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Developing Gonadal FACS (ST1)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Developing Pelvic Ganglia FACS (ST1)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JGS Single Cell (ST1)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display </w:t>
      </w: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heatmaps</w:t>
        </w:r>
      </w:hyperlink>
      <w:r w:rsidDel="00000000" w:rsidR="00000000" w:rsidRPr="00000000">
        <w:rPr>
          <w:sz w:val="24"/>
          <w:szCs w:val="24"/>
          <w:rtl w:val="0"/>
        </w:rPr>
        <w:t xml:space="preserve"> we use the following formula: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 (of a probeset in sample i) = RMA (of probeset in sample i) - RMA (median of its value across all samples)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details on the Affymetrix platforms (MOE430, ST1) can be found </w:t>
      </w:r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gudmap.org/gudmap/pages/focus_platform_brows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gudmap.org/gudmap/pages/all_components_genelists.html" TargetMode="External"/><Relationship Id="rId8" Type="http://schemas.openxmlformats.org/officeDocument/2006/relationships/hyperlink" Target="http://www.gudmap.org/gudmap/pages/all_components_genelis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