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shd w:fill="ffffff" w:val="clear"/>
        <w:spacing w:before="280" w:lineRule="auto"/>
        <w:rPr/>
      </w:pPr>
      <w:bookmarkStart w:colFirst="0" w:colLast="0" w:name="_7xowr0x2ln2i" w:id="0"/>
      <w:bookmarkEnd w:id="0"/>
      <w:r w:rsidDel="00000000" w:rsidR="00000000" w:rsidRPr="00000000">
        <w:rPr>
          <w:rtl w:val="0"/>
        </w:rPr>
        <w:t xml:space="preserve">RNA Amplification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EpiCentre TargetAmp 2-round aminoallyl-aRNA Amplification kit. (c.f. Potter)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