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ageBreakBefore w:val="0"/>
        <w:rPr/>
      </w:pPr>
      <w:r w:rsidDel="00000000" w:rsidR="00000000" w:rsidRPr="00000000">
        <w:rPr>
          <w:rtl w:val="0"/>
        </w:rPr>
        <w:t xml:space="preserve">From: Edinburgh Core Database Group</w:t>
      </w:r>
    </w:p>
    <w:p w:rsidR="00000000" w:rsidDel="00000000" w:rsidP="00000000" w:rsidRDefault="00000000" w:rsidRPr="00000000" w14:paraId="00000002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ageBreakBefore w:val="0"/>
        <w:shd w:fill="ffffff" w:val="clear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The in situ hybridisation and immunohistochemistry data in the GUDMAP database complies with the specifications set out by </w:t>
      </w:r>
      <w:hyperlink r:id="rId6">
        <w:r w:rsidDel="00000000" w:rsidR="00000000" w:rsidRPr="00000000">
          <w:rPr>
            <w:color w:val="4a86e8"/>
            <w:sz w:val="24"/>
            <w:szCs w:val="24"/>
            <w:u w:val="single"/>
            <w:rtl w:val="0"/>
          </w:rPr>
          <w:t xml:space="preserve">MISFISHIE</w:t>
        </w:r>
      </w:hyperlink>
      <w:r w:rsidDel="00000000" w:rsidR="00000000" w:rsidRPr="00000000">
        <w:rPr>
          <w:sz w:val="24"/>
          <w:szCs w:val="24"/>
          <w:rtl w:val="0"/>
        </w:rPr>
        <w:t xml:space="preserve"> (Minimum Information Specification For an In Situ Hybridisation or Immunohistochemistry Experiment).</w:t>
      </w:r>
    </w:p>
    <w:p w:rsidR="00000000" w:rsidDel="00000000" w:rsidP="00000000" w:rsidRDefault="00000000" w:rsidRPr="00000000" w14:paraId="00000004">
      <w:pPr>
        <w:pageBreakBefore w:val="0"/>
        <w:shd w:fill="ffffff" w:val="clear"/>
        <w:rPr>
          <w:b w:val="1"/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             </w:t>
      </w:r>
    </w:p>
    <w:p w:rsidR="00000000" w:rsidDel="00000000" w:rsidP="00000000" w:rsidRDefault="00000000" w:rsidRPr="00000000" w14:paraId="00000005">
      <w:pPr>
        <w:pageBreakBefore w:val="0"/>
        <w:shd w:fill="ffffff" w:val="clear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The following information is requested in a GUDMAP </w:t>
      </w:r>
      <w:r w:rsidDel="00000000" w:rsidR="00000000" w:rsidRPr="00000000">
        <w:rPr>
          <w:b w:val="1"/>
          <w:sz w:val="24"/>
          <w:szCs w:val="24"/>
          <w:rtl w:val="0"/>
        </w:rPr>
        <w:t xml:space="preserve">in situ hybridisation</w:t>
      </w:r>
      <w:r w:rsidDel="00000000" w:rsidR="00000000" w:rsidRPr="00000000">
        <w:rPr>
          <w:sz w:val="24"/>
          <w:szCs w:val="24"/>
          <w:rtl w:val="0"/>
        </w:rPr>
        <w:t xml:space="preserve"> entry:</w:t>
      </w:r>
    </w:p>
    <w:p w:rsidR="00000000" w:rsidDel="00000000" w:rsidP="00000000" w:rsidRDefault="00000000" w:rsidRPr="00000000" w14:paraId="00000006">
      <w:pPr>
        <w:pageBreakBefore w:val="0"/>
        <w:shd w:fill="ffffff" w:val="clear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pageBreakBefore w:val="0"/>
        <w:numPr>
          <w:ilvl w:val="0"/>
          <w:numId w:val="1"/>
        </w:numPr>
        <w:ind w:left="720" w:hanging="360"/>
        <w:rPr>
          <w:rFonts w:ascii="Arial" w:cs="Arial" w:eastAsia="Arial" w:hAnsi="Arial"/>
        </w:rPr>
      </w:pPr>
      <w:r w:rsidDel="00000000" w:rsidR="00000000" w:rsidRPr="00000000">
        <w:rPr>
          <w:sz w:val="24"/>
          <w:szCs w:val="24"/>
          <w:rtl w:val="0"/>
        </w:rPr>
        <w:t xml:space="preserve">Gene symbol</w:t>
      </w:r>
    </w:p>
    <w:p w:rsidR="00000000" w:rsidDel="00000000" w:rsidP="00000000" w:rsidRDefault="00000000" w:rsidRPr="00000000" w14:paraId="00000008">
      <w:pPr>
        <w:pageBreakBefore w:val="0"/>
        <w:numPr>
          <w:ilvl w:val="0"/>
          <w:numId w:val="1"/>
        </w:numPr>
        <w:ind w:left="720" w:hanging="360"/>
        <w:rPr>
          <w:rFonts w:ascii="Arial" w:cs="Arial" w:eastAsia="Arial" w:hAnsi="Arial"/>
        </w:rPr>
      </w:pPr>
      <w:r w:rsidDel="00000000" w:rsidR="00000000" w:rsidRPr="00000000">
        <w:rPr>
          <w:sz w:val="24"/>
          <w:szCs w:val="24"/>
          <w:rtl w:val="0"/>
        </w:rPr>
        <w:t xml:space="preserve">Probe name (of the antisense riboprobe)</w:t>
      </w:r>
    </w:p>
    <w:p w:rsidR="00000000" w:rsidDel="00000000" w:rsidP="00000000" w:rsidRDefault="00000000" w:rsidRPr="00000000" w14:paraId="00000009">
      <w:pPr>
        <w:pageBreakBefore w:val="0"/>
        <w:numPr>
          <w:ilvl w:val="0"/>
          <w:numId w:val="1"/>
        </w:numPr>
        <w:ind w:left="720" w:hanging="360"/>
        <w:rPr>
          <w:rFonts w:ascii="Arial" w:cs="Arial" w:eastAsia="Arial" w:hAnsi="Arial"/>
        </w:rPr>
      </w:pPr>
      <w:r w:rsidDel="00000000" w:rsidR="00000000" w:rsidRPr="00000000">
        <w:rPr>
          <w:sz w:val="24"/>
          <w:szCs w:val="24"/>
          <w:rtl w:val="0"/>
        </w:rPr>
        <w:t xml:space="preserve">Clone name (used to generate the antisense riboprobe)</w:t>
      </w:r>
    </w:p>
    <w:p w:rsidR="00000000" w:rsidDel="00000000" w:rsidP="00000000" w:rsidRDefault="00000000" w:rsidRPr="00000000" w14:paraId="0000000A">
      <w:pPr>
        <w:pageBreakBefore w:val="0"/>
        <w:numPr>
          <w:ilvl w:val="0"/>
          <w:numId w:val="1"/>
        </w:numPr>
        <w:ind w:left="720" w:hanging="360"/>
        <w:rPr>
          <w:rFonts w:ascii="Arial" w:cs="Arial" w:eastAsia="Arial" w:hAnsi="Arial"/>
        </w:rPr>
      </w:pPr>
      <w:r w:rsidDel="00000000" w:rsidR="00000000" w:rsidRPr="00000000">
        <w:rPr>
          <w:sz w:val="24"/>
          <w:szCs w:val="24"/>
          <w:rtl w:val="0"/>
        </w:rPr>
        <w:t xml:space="preserve">Sequence accession ID (describing the cDNA sequence of the antisense riboprobe)</w:t>
      </w:r>
    </w:p>
    <w:p w:rsidR="00000000" w:rsidDel="00000000" w:rsidP="00000000" w:rsidRDefault="00000000" w:rsidRPr="00000000" w14:paraId="0000000B">
      <w:pPr>
        <w:pageBreakBefore w:val="0"/>
        <w:numPr>
          <w:ilvl w:val="0"/>
          <w:numId w:val="1"/>
        </w:numPr>
        <w:ind w:left="720" w:hanging="360"/>
        <w:rPr>
          <w:rFonts w:ascii="Arial" w:cs="Arial" w:eastAsia="Arial" w:hAnsi="Arial"/>
        </w:rPr>
      </w:pPr>
      <w:r w:rsidDel="00000000" w:rsidR="00000000" w:rsidRPr="00000000">
        <w:rPr>
          <w:sz w:val="24"/>
          <w:szCs w:val="24"/>
          <w:rtl w:val="0"/>
        </w:rPr>
        <w:t xml:space="preserve">Label (e.g. digoxigenin, FITC etc.)</w:t>
      </w:r>
    </w:p>
    <w:p w:rsidR="00000000" w:rsidDel="00000000" w:rsidP="00000000" w:rsidRDefault="00000000" w:rsidRPr="00000000" w14:paraId="0000000C">
      <w:pPr>
        <w:pageBreakBefore w:val="0"/>
        <w:numPr>
          <w:ilvl w:val="0"/>
          <w:numId w:val="1"/>
        </w:numPr>
        <w:ind w:left="720" w:hanging="360"/>
        <w:rPr>
          <w:rFonts w:ascii="Arial" w:cs="Arial" w:eastAsia="Arial" w:hAnsi="Arial"/>
        </w:rPr>
      </w:pPr>
      <w:r w:rsidDel="00000000" w:rsidR="00000000" w:rsidRPr="00000000">
        <w:rPr>
          <w:sz w:val="24"/>
          <w:szCs w:val="24"/>
          <w:rtl w:val="0"/>
        </w:rPr>
        <w:t xml:space="preserve">Visualisation method (fluorescence, colorimetric)</w:t>
      </w:r>
    </w:p>
    <w:p w:rsidR="00000000" w:rsidDel="00000000" w:rsidP="00000000" w:rsidRDefault="00000000" w:rsidRPr="00000000" w14:paraId="0000000D">
      <w:pPr>
        <w:pageBreakBefore w:val="0"/>
        <w:numPr>
          <w:ilvl w:val="0"/>
          <w:numId w:val="1"/>
        </w:numPr>
        <w:ind w:left="720" w:hanging="360"/>
        <w:rPr>
          <w:rFonts w:ascii="Arial" w:cs="Arial" w:eastAsia="Arial" w:hAnsi="Arial"/>
        </w:rPr>
      </w:pPr>
      <w:r w:rsidDel="00000000" w:rsidR="00000000" w:rsidRPr="00000000">
        <w:rPr>
          <w:sz w:val="24"/>
          <w:szCs w:val="24"/>
          <w:rtl w:val="0"/>
        </w:rPr>
        <w:t xml:space="preserve">Fixation method</w:t>
      </w:r>
    </w:p>
    <w:p w:rsidR="00000000" w:rsidDel="00000000" w:rsidP="00000000" w:rsidRDefault="00000000" w:rsidRPr="00000000" w14:paraId="0000000E">
      <w:pPr>
        <w:pageBreakBefore w:val="0"/>
        <w:numPr>
          <w:ilvl w:val="0"/>
          <w:numId w:val="1"/>
        </w:numPr>
        <w:ind w:left="720" w:hanging="360"/>
        <w:rPr>
          <w:rFonts w:ascii="Arial" w:cs="Arial" w:eastAsia="Arial" w:hAnsi="Arial"/>
        </w:rPr>
      </w:pPr>
      <w:r w:rsidDel="00000000" w:rsidR="00000000" w:rsidRPr="00000000">
        <w:rPr>
          <w:sz w:val="24"/>
          <w:szCs w:val="24"/>
          <w:rtl w:val="0"/>
        </w:rPr>
        <w:t xml:space="preserve">Strain</w:t>
      </w:r>
    </w:p>
    <w:p w:rsidR="00000000" w:rsidDel="00000000" w:rsidP="00000000" w:rsidRDefault="00000000" w:rsidRPr="00000000" w14:paraId="0000000F">
      <w:pPr>
        <w:pageBreakBefore w:val="0"/>
        <w:numPr>
          <w:ilvl w:val="0"/>
          <w:numId w:val="1"/>
        </w:numPr>
        <w:ind w:left="720" w:hanging="360"/>
        <w:rPr>
          <w:rFonts w:ascii="Arial" w:cs="Arial" w:eastAsia="Arial" w:hAnsi="Arial"/>
        </w:rPr>
      </w:pPr>
      <w:r w:rsidDel="00000000" w:rsidR="00000000" w:rsidRPr="00000000">
        <w:rPr>
          <w:sz w:val="24"/>
          <w:szCs w:val="24"/>
          <w:rtl w:val="0"/>
        </w:rPr>
        <w:t xml:space="preserve">Sex</w:t>
      </w:r>
    </w:p>
    <w:p w:rsidR="00000000" w:rsidDel="00000000" w:rsidP="00000000" w:rsidRDefault="00000000" w:rsidRPr="00000000" w14:paraId="00000010">
      <w:pPr>
        <w:pageBreakBefore w:val="0"/>
        <w:numPr>
          <w:ilvl w:val="0"/>
          <w:numId w:val="1"/>
        </w:numPr>
        <w:ind w:left="720" w:hanging="360"/>
        <w:rPr>
          <w:rFonts w:ascii="Arial" w:cs="Arial" w:eastAsia="Arial" w:hAnsi="Arial"/>
        </w:rPr>
      </w:pPr>
      <w:r w:rsidDel="00000000" w:rsidR="00000000" w:rsidRPr="00000000">
        <w:rPr>
          <w:sz w:val="24"/>
          <w:szCs w:val="24"/>
          <w:rtl w:val="0"/>
        </w:rPr>
        <w:t xml:space="preserve">Theiler stage</w:t>
      </w:r>
    </w:p>
    <w:p w:rsidR="00000000" w:rsidDel="00000000" w:rsidP="00000000" w:rsidRDefault="00000000" w:rsidRPr="00000000" w14:paraId="00000011">
      <w:pPr>
        <w:pageBreakBefore w:val="0"/>
        <w:numPr>
          <w:ilvl w:val="0"/>
          <w:numId w:val="1"/>
        </w:numPr>
        <w:ind w:left="720" w:hanging="360"/>
        <w:rPr>
          <w:rFonts w:ascii="Arial" w:cs="Arial" w:eastAsia="Arial" w:hAnsi="Arial"/>
        </w:rPr>
      </w:pPr>
      <w:r w:rsidDel="00000000" w:rsidR="00000000" w:rsidRPr="00000000">
        <w:rPr>
          <w:sz w:val="24"/>
          <w:szCs w:val="24"/>
          <w:rtl w:val="0"/>
        </w:rPr>
        <w:t xml:space="preserve">Genotype (if non-wildtype this must be specified)</w:t>
      </w:r>
    </w:p>
    <w:p w:rsidR="00000000" w:rsidDel="00000000" w:rsidP="00000000" w:rsidRDefault="00000000" w:rsidRPr="00000000" w14:paraId="00000012">
      <w:pPr>
        <w:pageBreakBefore w:val="0"/>
        <w:numPr>
          <w:ilvl w:val="0"/>
          <w:numId w:val="1"/>
        </w:numPr>
        <w:ind w:left="720" w:hanging="360"/>
        <w:rPr>
          <w:rFonts w:ascii="Arial" w:cs="Arial" w:eastAsia="Arial" w:hAnsi="Arial"/>
        </w:rPr>
      </w:pPr>
      <w:r w:rsidDel="00000000" w:rsidR="00000000" w:rsidRPr="00000000">
        <w:rPr>
          <w:sz w:val="24"/>
          <w:szCs w:val="24"/>
          <w:rtl w:val="0"/>
        </w:rPr>
        <w:t xml:space="preserve">Annotation (describing the pattern of gene expression)</w:t>
      </w:r>
    </w:p>
    <w:p w:rsidR="00000000" w:rsidDel="00000000" w:rsidP="00000000" w:rsidRDefault="00000000" w:rsidRPr="00000000" w14:paraId="00000013">
      <w:pPr>
        <w:pageBreakBefore w:val="0"/>
        <w:numPr>
          <w:ilvl w:val="0"/>
          <w:numId w:val="1"/>
        </w:numPr>
        <w:ind w:left="720" w:hanging="360"/>
        <w:rPr>
          <w:rFonts w:ascii="Arial" w:cs="Arial" w:eastAsia="Arial" w:hAnsi="Arial"/>
        </w:rPr>
      </w:pPr>
      <w:r w:rsidDel="00000000" w:rsidR="00000000" w:rsidRPr="00000000">
        <w:rPr>
          <w:sz w:val="24"/>
          <w:szCs w:val="24"/>
          <w:rtl w:val="0"/>
        </w:rPr>
        <w:t xml:space="preserve">Images (supporting the annotation)</w:t>
      </w:r>
    </w:p>
    <w:p w:rsidR="00000000" w:rsidDel="00000000" w:rsidP="00000000" w:rsidRDefault="00000000" w:rsidRPr="00000000" w14:paraId="00000014">
      <w:pPr>
        <w:pageBreakBefore w:val="0"/>
        <w:shd w:fill="ffffff" w:val="clear"/>
        <w:rPr>
          <w:b w:val="1"/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             </w:t>
      </w:r>
    </w:p>
    <w:p w:rsidR="00000000" w:rsidDel="00000000" w:rsidP="00000000" w:rsidRDefault="00000000" w:rsidRPr="00000000" w14:paraId="00000015">
      <w:pPr>
        <w:pageBreakBefore w:val="0"/>
        <w:shd w:fill="ffffff" w:val="clear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The following information is requested in a GUDMAP </w:t>
      </w:r>
      <w:r w:rsidDel="00000000" w:rsidR="00000000" w:rsidRPr="00000000">
        <w:rPr>
          <w:b w:val="1"/>
          <w:sz w:val="24"/>
          <w:szCs w:val="24"/>
          <w:rtl w:val="0"/>
        </w:rPr>
        <w:t xml:space="preserve">immunohistochemistry</w:t>
      </w:r>
      <w:r w:rsidDel="00000000" w:rsidR="00000000" w:rsidRPr="00000000">
        <w:rPr>
          <w:sz w:val="24"/>
          <w:szCs w:val="24"/>
          <w:rtl w:val="0"/>
        </w:rPr>
        <w:t xml:space="preserve"> entry:</w:t>
      </w:r>
    </w:p>
    <w:p w:rsidR="00000000" w:rsidDel="00000000" w:rsidP="00000000" w:rsidRDefault="00000000" w:rsidRPr="00000000" w14:paraId="00000016">
      <w:pPr>
        <w:pageBreakBefore w:val="0"/>
        <w:shd w:fill="ffffff" w:val="clear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pageBreakBefore w:val="0"/>
        <w:numPr>
          <w:ilvl w:val="0"/>
          <w:numId w:val="2"/>
        </w:numPr>
        <w:ind w:left="720" w:hanging="360"/>
        <w:rPr>
          <w:rFonts w:ascii="Arial" w:cs="Arial" w:eastAsia="Arial" w:hAnsi="Arial"/>
        </w:rPr>
      </w:pPr>
      <w:r w:rsidDel="00000000" w:rsidR="00000000" w:rsidRPr="00000000">
        <w:rPr>
          <w:sz w:val="24"/>
          <w:szCs w:val="24"/>
          <w:rtl w:val="0"/>
        </w:rPr>
        <w:t xml:space="preserve">Gene symbol (of the epitope recognised by the primary antibody)</w:t>
      </w:r>
    </w:p>
    <w:p w:rsidR="00000000" w:rsidDel="00000000" w:rsidP="00000000" w:rsidRDefault="00000000" w:rsidRPr="00000000" w14:paraId="00000018">
      <w:pPr>
        <w:pageBreakBefore w:val="0"/>
        <w:numPr>
          <w:ilvl w:val="0"/>
          <w:numId w:val="2"/>
        </w:numPr>
        <w:ind w:left="720" w:hanging="360"/>
        <w:rPr>
          <w:rFonts w:ascii="Arial" w:cs="Arial" w:eastAsia="Arial" w:hAnsi="Arial"/>
        </w:rPr>
      </w:pPr>
      <w:r w:rsidDel="00000000" w:rsidR="00000000" w:rsidRPr="00000000">
        <w:rPr>
          <w:sz w:val="24"/>
          <w:szCs w:val="24"/>
          <w:rtl w:val="0"/>
        </w:rPr>
        <w:t xml:space="preserve">Clone name (of the primary antibody)</w:t>
      </w:r>
    </w:p>
    <w:p w:rsidR="00000000" w:rsidDel="00000000" w:rsidP="00000000" w:rsidRDefault="00000000" w:rsidRPr="00000000" w14:paraId="00000019">
      <w:pPr>
        <w:pageBreakBefore w:val="0"/>
        <w:numPr>
          <w:ilvl w:val="0"/>
          <w:numId w:val="2"/>
        </w:numPr>
        <w:ind w:left="720" w:hanging="360"/>
        <w:rPr>
          <w:rFonts w:ascii="Arial" w:cs="Arial" w:eastAsia="Arial" w:hAnsi="Arial"/>
        </w:rPr>
      </w:pPr>
      <w:r w:rsidDel="00000000" w:rsidR="00000000" w:rsidRPr="00000000">
        <w:rPr>
          <w:sz w:val="24"/>
          <w:szCs w:val="24"/>
          <w:rtl w:val="0"/>
        </w:rPr>
        <w:t xml:space="preserve">Antibody type (monoclonal, polyclonal)</w:t>
      </w:r>
    </w:p>
    <w:p w:rsidR="00000000" w:rsidDel="00000000" w:rsidP="00000000" w:rsidRDefault="00000000" w:rsidRPr="00000000" w14:paraId="0000001A">
      <w:pPr>
        <w:pageBreakBefore w:val="0"/>
        <w:numPr>
          <w:ilvl w:val="0"/>
          <w:numId w:val="2"/>
        </w:numPr>
        <w:ind w:left="720" w:hanging="360"/>
        <w:rPr>
          <w:rFonts w:ascii="Arial" w:cs="Arial" w:eastAsia="Arial" w:hAnsi="Arial"/>
        </w:rPr>
      </w:pPr>
      <w:r w:rsidDel="00000000" w:rsidR="00000000" w:rsidRPr="00000000">
        <w:rPr>
          <w:sz w:val="24"/>
          <w:szCs w:val="24"/>
          <w:rtl w:val="0"/>
        </w:rPr>
        <w:t xml:space="preserve">Supplier (the company that manufactured the antibody)</w:t>
      </w:r>
    </w:p>
    <w:p w:rsidR="00000000" w:rsidDel="00000000" w:rsidP="00000000" w:rsidRDefault="00000000" w:rsidRPr="00000000" w14:paraId="0000001B">
      <w:pPr>
        <w:pageBreakBefore w:val="0"/>
        <w:numPr>
          <w:ilvl w:val="0"/>
          <w:numId w:val="2"/>
        </w:numPr>
        <w:ind w:left="720" w:hanging="360"/>
        <w:rPr>
          <w:rFonts w:ascii="Arial" w:cs="Arial" w:eastAsia="Arial" w:hAnsi="Arial"/>
        </w:rPr>
      </w:pPr>
      <w:r w:rsidDel="00000000" w:rsidR="00000000" w:rsidRPr="00000000">
        <w:rPr>
          <w:sz w:val="24"/>
          <w:szCs w:val="24"/>
          <w:rtl w:val="0"/>
        </w:rPr>
        <w:t xml:space="preserve">Catalogue number / Lot number (if a commercially available antibody)</w:t>
      </w:r>
    </w:p>
    <w:p w:rsidR="00000000" w:rsidDel="00000000" w:rsidP="00000000" w:rsidRDefault="00000000" w:rsidRPr="00000000" w14:paraId="0000001C">
      <w:pPr>
        <w:pageBreakBefore w:val="0"/>
        <w:numPr>
          <w:ilvl w:val="0"/>
          <w:numId w:val="2"/>
        </w:numPr>
        <w:ind w:left="720" w:hanging="360"/>
        <w:rPr>
          <w:rFonts w:ascii="Arial" w:cs="Arial" w:eastAsia="Arial" w:hAnsi="Arial"/>
        </w:rPr>
      </w:pPr>
      <w:r w:rsidDel="00000000" w:rsidR="00000000" w:rsidRPr="00000000">
        <w:rPr>
          <w:sz w:val="24"/>
          <w:szCs w:val="24"/>
          <w:rtl w:val="0"/>
        </w:rPr>
        <w:t xml:space="preserve">Label (e.g. digoxigenin, FITC etc.)</w:t>
      </w:r>
    </w:p>
    <w:p w:rsidR="00000000" w:rsidDel="00000000" w:rsidP="00000000" w:rsidRDefault="00000000" w:rsidRPr="00000000" w14:paraId="0000001D">
      <w:pPr>
        <w:pageBreakBefore w:val="0"/>
        <w:numPr>
          <w:ilvl w:val="0"/>
          <w:numId w:val="2"/>
        </w:numPr>
        <w:ind w:left="720" w:hanging="360"/>
        <w:rPr>
          <w:rFonts w:ascii="Arial" w:cs="Arial" w:eastAsia="Arial" w:hAnsi="Arial"/>
        </w:rPr>
      </w:pPr>
      <w:r w:rsidDel="00000000" w:rsidR="00000000" w:rsidRPr="00000000">
        <w:rPr>
          <w:sz w:val="24"/>
          <w:szCs w:val="24"/>
          <w:rtl w:val="0"/>
        </w:rPr>
        <w:t xml:space="preserve">Visualisation method (fluorescence, colorimetric)</w:t>
      </w:r>
    </w:p>
    <w:p w:rsidR="00000000" w:rsidDel="00000000" w:rsidP="00000000" w:rsidRDefault="00000000" w:rsidRPr="00000000" w14:paraId="0000001E">
      <w:pPr>
        <w:pageBreakBefore w:val="0"/>
        <w:numPr>
          <w:ilvl w:val="0"/>
          <w:numId w:val="2"/>
        </w:numPr>
        <w:ind w:left="720" w:hanging="360"/>
        <w:rPr>
          <w:rFonts w:ascii="Arial" w:cs="Arial" w:eastAsia="Arial" w:hAnsi="Arial"/>
        </w:rPr>
      </w:pPr>
      <w:r w:rsidDel="00000000" w:rsidR="00000000" w:rsidRPr="00000000">
        <w:rPr>
          <w:sz w:val="24"/>
          <w:szCs w:val="24"/>
          <w:rtl w:val="0"/>
        </w:rPr>
        <w:t xml:space="preserve">Fixation method</w:t>
      </w:r>
    </w:p>
    <w:p w:rsidR="00000000" w:rsidDel="00000000" w:rsidP="00000000" w:rsidRDefault="00000000" w:rsidRPr="00000000" w14:paraId="0000001F">
      <w:pPr>
        <w:pageBreakBefore w:val="0"/>
        <w:numPr>
          <w:ilvl w:val="0"/>
          <w:numId w:val="2"/>
        </w:numPr>
        <w:ind w:left="720" w:hanging="360"/>
        <w:rPr>
          <w:rFonts w:ascii="Arial" w:cs="Arial" w:eastAsia="Arial" w:hAnsi="Arial"/>
        </w:rPr>
      </w:pPr>
      <w:r w:rsidDel="00000000" w:rsidR="00000000" w:rsidRPr="00000000">
        <w:rPr>
          <w:sz w:val="24"/>
          <w:szCs w:val="24"/>
          <w:rtl w:val="0"/>
        </w:rPr>
        <w:t xml:space="preserve">Strain</w:t>
      </w:r>
    </w:p>
    <w:p w:rsidR="00000000" w:rsidDel="00000000" w:rsidP="00000000" w:rsidRDefault="00000000" w:rsidRPr="00000000" w14:paraId="00000020">
      <w:pPr>
        <w:pageBreakBefore w:val="0"/>
        <w:numPr>
          <w:ilvl w:val="0"/>
          <w:numId w:val="2"/>
        </w:numPr>
        <w:ind w:left="720" w:hanging="360"/>
        <w:rPr>
          <w:rFonts w:ascii="Arial" w:cs="Arial" w:eastAsia="Arial" w:hAnsi="Arial"/>
        </w:rPr>
      </w:pPr>
      <w:r w:rsidDel="00000000" w:rsidR="00000000" w:rsidRPr="00000000">
        <w:rPr>
          <w:sz w:val="24"/>
          <w:szCs w:val="24"/>
          <w:rtl w:val="0"/>
        </w:rPr>
        <w:t xml:space="preserve">Sex</w:t>
      </w:r>
    </w:p>
    <w:p w:rsidR="00000000" w:rsidDel="00000000" w:rsidP="00000000" w:rsidRDefault="00000000" w:rsidRPr="00000000" w14:paraId="00000021">
      <w:pPr>
        <w:pageBreakBefore w:val="0"/>
        <w:numPr>
          <w:ilvl w:val="0"/>
          <w:numId w:val="2"/>
        </w:numPr>
        <w:ind w:left="720" w:hanging="360"/>
        <w:rPr>
          <w:rFonts w:ascii="Arial" w:cs="Arial" w:eastAsia="Arial" w:hAnsi="Arial"/>
        </w:rPr>
      </w:pPr>
      <w:r w:rsidDel="00000000" w:rsidR="00000000" w:rsidRPr="00000000">
        <w:rPr>
          <w:sz w:val="24"/>
          <w:szCs w:val="24"/>
          <w:rtl w:val="0"/>
        </w:rPr>
        <w:t xml:space="preserve">Theiler stage</w:t>
      </w:r>
    </w:p>
    <w:p w:rsidR="00000000" w:rsidDel="00000000" w:rsidP="00000000" w:rsidRDefault="00000000" w:rsidRPr="00000000" w14:paraId="00000022">
      <w:pPr>
        <w:pageBreakBefore w:val="0"/>
        <w:numPr>
          <w:ilvl w:val="0"/>
          <w:numId w:val="2"/>
        </w:numPr>
        <w:ind w:left="720" w:hanging="360"/>
        <w:rPr>
          <w:rFonts w:ascii="Arial" w:cs="Arial" w:eastAsia="Arial" w:hAnsi="Arial"/>
        </w:rPr>
      </w:pPr>
      <w:r w:rsidDel="00000000" w:rsidR="00000000" w:rsidRPr="00000000">
        <w:rPr>
          <w:sz w:val="24"/>
          <w:szCs w:val="24"/>
          <w:rtl w:val="0"/>
        </w:rPr>
        <w:t xml:space="preserve">Genotype (if non-wildtype this must be specified)</w:t>
      </w:r>
    </w:p>
    <w:p w:rsidR="00000000" w:rsidDel="00000000" w:rsidP="00000000" w:rsidRDefault="00000000" w:rsidRPr="00000000" w14:paraId="00000023">
      <w:pPr>
        <w:pageBreakBefore w:val="0"/>
        <w:numPr>
          <w:ilvl w:val="0"/>
          <w:numId w:val="2"/>
        </w:numPr>
        <w:ind w:left="720" w:hanging="360"/>
        <w:rPr>
          <w:rFonts w:ascii="Arial" w:cs="Arial" w:eastAsia="Arial" w:hAnsi="Arial"/>
        </w:rPr>
      </w:pPr>
      <w:r w:rsidDel="00000000" w:rsidR="00000000" w:rsidRPr="00000000">
        <w:rPr>
          <w:sz w:val="24"/>
          <w:szCs w:val="24"/>
          <w:rtl w:val="0"/>
        </w:rPr>
        <w:t xml:space="preserve">Annotation (describing the pattern of gene expression)</w:t>
      </w:r>
    </w:p>
    <w:p w:rsidR="00000000" w:rsidDel="00000000" w:rsidP="00000000" w:rsidRDefault="00000000" w:rsidRPr="00000000" w14:paraId="00000024">
      <w:pPr>
        <w:pageBreakBefore w:val="0"/>
        <w:numPr>
          <w:ilvl w:val="0"/>
          <w:numId w:val="2"/>
        </w:numPr>
        <w:ind w:left="720" w:hanging="360"/>
        <w:rPr>
          <w:rFonts w:ascii="Arial" w:cs="Arial" w:eastAsia="Arial" w:hAnsi="Arial"/>
        </w:rPr>
      </w:pPr>
      <w:r w:rsidDel="00000000" w:rsidR="00000000" w:rsidRPr="00000000">
        <w:rPr>
          <w:sz w:val="24"/>
          <w:szCs w:val="24"/>
          <w:rtl w:val="0"/>
        </w:rPr>
        <w:t xml:space="preserve">Images (supporting the annotation)</w:t>
      </w: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Verdan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rFonts w:ascii="Verdana" w:cs="Verdana" w:eastAsia="Verdana" w:hAnsi="Verdana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rFonts w:ascii="Verdana" w:cs="Verdana" w:eastAsia="Verdana" w:hAnsi="Verdana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://scgap.systemsbiology.net/standards/misfishie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