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shd w:fill="ffffff" w:val="clear"/>
        <w:spacing w:before="280" w:lineRule="auto"/>
        <w:rPr/>
      </w:pPr>
      <w:bookmarkStart w:colFirst="0" w:colLast="0" w:name="_7l8fnrmusdbf" w:id="0"/>
      <w:bookmarkEnd w:id="0"/>
      <w:r w:rsidDel="00000000" w:rsidR="00000000" w:rsidRPr="00000000">
        <w:rPr>
          <w:rtl w:val="0"/>
        </w:rPr>
        <w:t xml:space="preserve">Target Amplification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 TargetAmp 2-round aminoallyl amplification kit from Epicentre biotechnologies.  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Add an additional 3/4 ul of SBI semi-random primer at step one, before speed-vacing to 3 ul. </w:t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Also, add 1 ul of this primer for part F, step one, in addition to the Epicentre primer.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